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DE" w:rsidRPr="00851091" w:rsidRDefault="003668DE" w:rsidP="003668DE">
      <w:pPr>
        <w:rPr>
          <w:b/>
          <w:u w:val="single"/>
        </w:rPr>
      </w:pPr>
      <w:r w:rsidRPr="00851091">
        <w:rPr>
          <w:b/>
          <w:u w:val="single"/>
        </w:rPr>
        <w:t>Souhrnná zpráva o plnění cílů retrospektivní konverze katalogů českých knihoven realizované v roce 201</w:t>
      </w:r>
      <w:r w:rsidR="00E52594">
        <w:rPr>
          <w:b/>
          <w:u w:val="single"/>
        </w:rPr>
        <w:t>4</w:t>
      </w:r>
      <w:r w:rsidRPr="00851091">
        <w:rPr>
          <w:b/>
          <w:u w:val="single"/>
        </w:rPr>
        <w:t xml:space="preserve"> v rámci programu VISK 5 – RETROKON </w:t>
      </w:r>
    </w:p>
    <w:p w:rsidR="003668DE" w:rsidRPr="00851091" w:rsidRDefault="003668DE" w:rsidP="003668DE"/>
    <w:p w:rsidR="00A6039C" w:rsidRDefault="00A6039C" w:rsidP="00F83926">
      <w:pPr>
        <w:jc w:val="both"/>
      </w:pPr>
      <w:r>
        <w:t>Souhrnnou zprávu</w:t>
      </w:r>
      <w:r w:rsidR="00F83926" w:rsidRPr="008A1E6B">
        <w:t xml:space="preserve"> o plnění cílů retrospektivní konverze katalogů českých knihoven </w:t>
      </w:r>
      <w:r>
        <w:t>tvoří přehledná</w:t>
      </w:r>
      <w:r w:rsidR="00F83926" w:rsidRPr="008A1E6B">
        <w:t xml:space="preserve"> tabul</w:t>
      </w:r>
      <w:r>
        <w:t>ka</w:t>
      </w:r>
      <w:r w:rsidR="00F83926">
        <w:t xml:space="preserve"> se </w:t>
      </w:r>
      <w:r>
        <w:t>základními údaji</w:t>
      </w:r>
      <w:r w:rsidR="00F83926">
        <w:t xml:space="preserve"> o </w:t>
      </w:r>
      <w:r w:rsidR="00F83926" w:rsidRPr="008A1E6B">
        <w:t>výsledcích pr</w:t>
      </w:r>
      <w:r>
        <w:t>ojektů realizovaných v roce 2014</w:t>
      </w:r>
      <w:r w:rsidR="00F83926" w:rsidRPr="008A1E6B">
        <w:t xml:space="preserve"> v rámci programu VISK 5 - RETROKON.</w:t>
      </w:r>
      <w:r w:rsidR="00F83926">
        <w:t xml:space="preserve"> </w:t>
      </w:r>
      <w:r>
        <w:t xml:space="preserve">Podkladem pro sestavení tabulky byly zprávy jednotlivých institucí o plnění cílů projektu VISK 5 v roce 2014, </w:t>
      </w:r>
      <w:r w:rsidRPr="00FD6493">
        <w:t>které jsou v úplnosti k nahlédnutí u odborného garanta programu.</w:t>
      </w:r>
    </w:p>
    <w:p w:rsidR="00A6039C" w:rsidRDefault="00A6039C" w:rsidP="00F83926">
      <w:pPr>
        <w:jc w:val="both"/>
      </w:pPr>
    </w:p>
    <w:p w:rsidR="00F83926" w:rsidRPr="008A1E6B" w:rsidRDefault="00A6039C" w:rsidP="00F83926">
      <w:pPr>
        <w:jc w:val="both"/>
      </w:pPr>
      <w:r>
        <w:t xml:space="preserve">V roce 2014 </w:t>
      </w:r>
      <w:r w:rsidR="00F83926">
        <w:t xml:space="preserve">pokračovalo </w:t>
      </w:r>
      <w:r w:rsidR="00F83926" w:rsidRPr="008A1E6B">
        <w:t>financování programu RETROKON v rámci programu Ministerstva kultury ČR VISK 5 – RETROKON.</w:t>
      </w:r>
      <w:r w:rsidR="00F83926">
        <w:t xml:space="preserve"> </w:t>
      </w:r>
      <w:r>
        <w:t>V</w:t>
      </w:r>
      <w:r w:rsidR="00F83926">
        <w:t xml:space="preserve">ýjimkou byl </w:t>
      </w:r>
      <w:r>
        <w:t xml:space="preserve">pouze </w:t>
      </w:r>
      <w:r w:rsidR="00F83926">
        <w:t xml:space="preserve">rok 2003, kdy </w:t>
      </w:r>
      <w:r>
        <w:t>proběhlo financování</w:t>
      </w:r>
      <w:r w:rsidR="00F83926">
        <w:t xml:space="preserve"> program</w:t>
      </w:r>
      <w:r>
        <w:t>u</w:t>
      </w:r>
      <w:r w:rsidR="00F83926">
        <w:t xml:space="preserve"> </w:t>
      </w:r>
      <w:r>
        <w:t>RETROKON prostřednictvím</w:t>
      </w:r>
      <w:r w:rsidR="00F83926" w:rsidRPr="008A1E6B">
        <w:t xml:space="preserve"> programu 234 118 Obnova majetku státních kulturních zařízení poškozeného povodní 2002, oblast retrospektivní konverze katalogů v rámci prevence.</w:t>
      </w:r>
    </w:p>
    <w:p w:rsidR="00F83926" w:rsidRDefault="00F83926" w:rsidP="00F83926">
      <w:pPr>
        <w:jc w:val="both"/>
      </w:pPr>
    </w:p>
    <w:p w:rsidR="00BA0014" w:rsidRDefault="00F83926" w:rsidP="00BA0014">
      <w:pPr>
        <w:jc w:val="both"/>
      </w:pPr>
      <w:r>
        <w:t>Pro rok 201</w:t>
      </w:r>
      <w:r w:rsidR="005246C8">
        <w:t>4</w:t>
      </w:r>
      <w:r>
        <w:t xml:space="preserve"> zažádalo o financování prostřednictvím programu VISK 5 – RETROKON </w:t>
      </w:r>
      <w:r w:rsidR="005246C8">
        <w:t xml:space="preserve">33 českých knihoven, z nichž komise schválila realizaci 32 projektů. Nepodpořeným projektem se stala Retrokonverze lístkových katalogů v knihovně Památníku národního písemnictví, který žádal o dotaci ve výši 525.000,- Kč. V důsledku snížení dotace z požadovaných 68.000,- Kč na 13.000,- Kč odstoupila od realizace projektu Retrospektivní konverze periodik také knihovna Akademie věd ČR, </w:t>
      </w:r>
      <w:proofErr w:type="spellStart"/>
      <w:proofErr w:type="gramStart"/>
      <w:r w:rsidR="005246C8">
        <w:t>v.v.</w:t>
      </w:r>
      <w:proofErr w:type="gramEnd"/>
      <w:r w:rsidR="005246C8">
        <w:t>i</w:t>
      </w:r>
      <w:proofErr w:type="spellEnd"/>
      <w:r w:rsidR="005246C8">
        <w:t xml:space="preserve">. Na rok 2014 poskytlo </w:t>
      </w:r>
      <w:r w:rsidR="005246C8" w:rsidRPr="00FD6493">
        <w:t>Ministerstvo kultury ČR</w:t>
      </w:r>
      <w:r w:rsidR="005246C8">
        <w:t xml:space="preserve"> celkem 5.4</w:t>
      </w:r>
      <w:r w:rsidR="00695942">
        <w:t>71</w:t>
      </w:r>
      <w:bookmarkStart w:id="0" w:name="_GoBack"/>
      <w:bookmarkEnd w:id="0"/>
      <w:r w:rsidR="005246C8">
        <w:t xml:space="preserve">.000,- Kč. Poskytnuté dotace byly </w:t>
      </w:r>
      <w:r w:rsidR="000E2505">
        <w:t>účelně vynaloženy na zpracování bibliografických záznamů českých i zahraničních monografií a seriálů ve formátu MARC21.</w:t>
      </w:r>
      <w:r w:rsidR="000E2505">
        <w:t xml:space="preserve"> </w:t>
      </w:r>
      <w:r w:rsidR="000E2505">
        <w:t>Skenování katalogizačních lístků v tomto roce v žádné z knihoven neprobíhalo. Převážná část fondů českých knihoven je do obrazové podoby již převedena a pozornost je nyní věnována převodu záznamů do strukturované podoby.</w:t>
      </w:r>
      <w:r w:rsidR="000E2505">
        <w:t xml:space="preserve"> Během roku 2014 vytvořily české knihovny </w:t>
      </w:r>
      <w:r w:rsidR="00BA0014">
        <w:t xml:space="preserve">více než 251 000 nových </w:t>
      </w:r>
      <w:r w:rsidR="00BA0014">
        <w:t>bibliografických záznamů ve standardizovaném formátu MARC21.</w:t>
      </w:r>
      <w:r w:rsidR="00BA0014">
        <w:t xml:space="preserve"> Nově vytvořené záznamy jsou průběžně </w:t>
      </w:r>
      <w:r w:rsidR="00BA0014">
        <w:t xml:space="preserve">dodávány do </w:t>
      </w:r>
      <w:r w:rsidR="00BA0014" w:rsidRPr="008A1E6B">
        <w:t>Souborného katalogu ČR (CASLIN).</w:t>
      </w:r>
    </w:p>
    <w:p w:rsidR="005246C8" w:rsidRDefault="005246C8" w:rsidP="00F83926">
      <w:pPr>
        <w:jc w:val="both"/>
      </w:pPr>
    </w:p>
    <w:p w:rsidR="00826CF6" w:rsidRPr="00FD6493" w:rsidRDefault="00826CF6" w:rsidP="00826CF6">
      <w:pPr>
        <w:jc w:val="both"/>
      </w:pPr>
      <w:r>
        <w:t xml:space="preserve">Z hlediska splnění stanovených cílů lze rok 2014 hodnotit jako úspěšný. </w:t>
      </w:r>
      <w:r w:rsidRPr="00FD6493">
        <w:t>Českým knihovnám se v tomto roce podařilo zpřístupnit místním i vzdále</w:t>
      </w:r>
      <w:r>
        <w:t xml:space="preserve">ným uživatelům další část </w:t>
      </w:r>
      <w:r w:rsidRPr="00FD6493">
        <w:t xml:space="preserve">fondů. </w:t>
      </w:r>
      <w:r>
        <w:t xml:space="preserve"> </w:t>
      </w:r>
      <w:r w:rsidRPr="00FD6493">
        <w:t>Avšak podobně jako v letech minulých, ani v roce 201</w:t>
      </w:r>
      <w:r>
        <w:t>4</w:t>
      </w:r>
      <w:r w:rsidRPr="00FD6493">
        <w:t xml:space="preserve"> nestačily přidělené finanční prostředky ve výši </w:t>
      </w:r>
      <w:r>
        <w:t>5.</w:t>
      </w:r>
      <w:r w:rsidRPr="00826CF6">
        <w:t>471</w:t>
      </w:r>
      <w:r>
        <w:t>.</w:t>
      </w:r>
      <w:r w:rsidRPr="00826CF6">
        <w:t>000</w:t>
      </w:r>
      <w:r w:rsidRPr="00826CF6">
        <w:t>,-</w:t>
      </w:r>
      <w:r w:rsidRPr="00826CF6">
        <w:t xml:space="preserve"> Kč</w:t>
      </w:r>
      <w:r w:rsidRPr="00FD64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D6493">
        <w:t>pokrýt všechny náklady na zpracování knihovních fondů. Mnohdy se jedná o katalogy velmi rozsáhlé či katalogy jazykově a oborově specifické, jejichž zpracování je nejen z hlediska omezených finančních prostředků náročné. Úspěšné dokončení těchto projektů je pak otázkou delšího časového horizontu.</w:t>
      </w:r>
    </w:p>
    <w:p w:rsidR="00F83926" w:rsidRPr="00F83926" w:rsidRDefault="00F83926" w:rsidP="00F83926">
      <w:pPr>
        <w:jc w:val="both"/>
      </w:pPr>
    </w:p>
    <w:p w:rsidR="003668DE" w:rsidRPr="00851091" w:rsidRDefault="00A52DBC" w:rsidP="003668DE">
      <w:pPr>
        <w:jc w:val="both"/>
      </w:pPr>
      <w:r>
        <w:t>I přes vytrvalou snahu</w:t>
      </w:r>
      <w:r w:rsidR="00F83926" w:rsidRPr="00F83926">
        <w:t xml:space="preserve"> českých knihoven v oblasti retrospektivní konverze a výraznou podporu </w:t>
      </w:r>
      <w:r w:rsidR="00F83926">
        <w:t>v rámci programu</w:t>
      </w:r>
      <w:r w:rsidR="00F83926" w:rsidRPr="00F83926">
        <w:t xml:space="preserve"> VISK 5 – RETROKON se ani </w:t>
      </w:r>
      <w:r>
        <w:t>v roce 2014</w:t>
      </w:r>
      <w:r w:rsidR="00F83926" w:rsidRPr="00F83926">
        <w:t xml:space="preserve"> nepodařilo zpří</w:t>
      </w:r>
      <w:r>
        <w:t>stupnit všechny knihovní fondy. Přesto se české</w:t>
      </w:r>
      <w:r w:rsidR="00F83926" w:rsidRPr="00F83926">
        <w:t xml:space="preserve"> knihovny v této souvislosti </w:t>
      </w:r>
      <w:r>
        <w:t xml:space="preserve">již </w:t>
      </w:r>
      <w:r w:rsidR="00F83926" w:rsidRPr="00F83926">
        <w:t xml:space="preserve">pomalu vyrovnávají stavu v ostatních evropských zemích. </w:t>
      </w:r>
      <w:r w:rsidR="00F83926" w:rsidRPr="008A1E6B">
        <w:t xml:space="preserve">Program VISK 5 – RETROKON s dostatečným navýšením finančních prostředků </w:t>
      </w:r>
      <w:r w:rsidRPr="00FD6493">
        <w:t xml:space="preserve">tak </w:t>
      </w:r>
      <w:r>
        <w:t xml:space="preserve">stále </w:t>
      </w:r>
      <w:r w:rsidRPr="00FD6493">
        <w:t>představuje nutnou podmínku pro úspěšné pokračování a dokončení retrospektivní konverze katalogů českých knihoven, která směřuje k úplnému otevření jejich knihovních fondů všem uživatelům.</w:t>
      </w:r>
      <w:r w:rsidRPr="00FD6493">
        <w:tab/>
      </w:r>
      <w:r w:rsidR="003668DE">
        <w:tab/>
      </w:r>
    </w:p>
    <w:tbl>
      <w:tblPr>
        <w:tblW w:w="13330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275"/>
        <w:gridCol w:w="1490"/>
        <w:gridCol w:w="1559"/>
        <w:gridCol w:w="993"/>
        <w:gridCol w:w="1134"/>
        <w:gridCol w:w="2849"/>
        <w:gridCol w:w="978"/>
      </w:tblGrid>
      <w:tr w:rsidR="003668DE" w:rsidRPr="00381CF8" w:rsidTr="00E167E7">
        <w:trPr>
          <w:trHeight w:val="76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Instituce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Název a charakteristika projektu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Žádáno (částka v Kč)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Poskytnuto (částka v Kč)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Počet záznamů (MARC)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proofErr w:type="spellStart"/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nasken</w:t>
            </w:r>
            <w:proofErr w:type="spellEnd"/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. záznamů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 Stav/poznámka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381CF8" w:rsidRDefault="003668DE" w:rsidP="00574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Kontrola</w:t>
            </w:r>
          </w:p>
        </w:tc>
      </w:tr>
      <w:tr w:rsidR="003668DE" w:rsidRPr="00381CF8" w:rsidTr="00E167E7">
        <w:trPr>
          <w:trHeight w:val="255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DE" w:rsidRPr="00381CF8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215042">
        <w:trPr>
          <w:trHeight w:val="166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Etnologický ústav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.- knihovna Praha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37B66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</w:t>
            </w:r>
            <w:r w:rsidR="00537B66" w:rsidRPr="000E2505">
              <w:rPr>
                <w:rFonts w:ascii="Arial" w:hAnsi="Arial" w:cs="Arial"/>
                <w:sz w:val="20"/>
                <w:szCs w:val="20"/>
              </w:rPr>
              <w:t>ospektivní konverze lístkového k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atalogu knihovny </w:t>
            </w:r>
            <w:r w:rsidR="00F11012" w:rsidRPr="000E2505">
              <w:rPr>
                <w:rFonts w:ascii="Arial" w:hAnsi="Arial" w:cs="Arial"/>
                <w:sz w:val="20"/>
                <w:szCs w:val="20"/>
              </w:rPr>
              <w:t>EÚ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  <w:r w:rsidR="00C86857" w:rsidRPr="000E250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37B66" w:rsidRPr="000E2505">
              <w:rPr>
                <w:rFonts w:ascii="Arial" w:hAnsi="Arial" w:cs="Arial"/>
                <w:sz w:val="20"/>
                <w:szCs w:val="20"/>
              </w:rPr>
              <w:t>dokončení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28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28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2 590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1F441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Zpracováno </w:t>
            </w:r>
            <w:r w:rsidR="001F4410" w:rsidRPr="000E2505">
              <w:rPr>
                <w:rFonts w:ascii="Arial" w:hAnsi="Arial" w:cs="Arial"/>
                <w:sz w:val="20"/>
                <w:szCs w:val="20"/>
              </w:rPr>
              <w:t>2 590 záznamů a připsáno cca 1</w:t>
            </w:r>
            <w:r w:rsidRPr="000E2505">
              <w:rPr>
                <w:rFonts w:ascii="Arial" w:hAnsi="Arial" w:cs="Arial"/>
                <w:sz w:val="20"/>
                <w:szCs w:val="20"/>
              </w:rPr>
              <w:t>00 jednotek k</w:t>
            </w:r>
            <w:r w:rsidR="00C86857" w:rsidRPr="000E2505">
              <w:rPr>
                <w:rFonts w:ascii="Arial" w:hAnsi="Arial" w:cs="Arial"/>
                <w:sz w:val="20"/>
                <w:szCs w:val="20"/>
              </w:rPr>
              <w:t> </w:t>
            </w:r>
            <w:r w:rsidRPr="000E2505">
              <w:rPr>
                <w:rFonts w:ascii="Arial" w:hAnsi="Arial" w:cs="Arial"/>
                <w:sz w:val="20"/>
                <w:szCs w:val="20"/>
              </w:rPr>
              <w:t>záznam</w:t>
            </w:r>
            <w:r w:rsidR="00C86857" w:rsidRPr="000E2505">
              <w:rPr>
                <w:rFonts w:ascii="Arial" w:hAnsi="Arial" w:cs="Arial"/>
                <w:sz w:val="20"/>
                <w:szCs w:val="20"/>
              </w:rPr>
              <w:t xml:space="preserve">ům jiných knihoven; zveřejněno více než </w:t>
            </w:r>
            <w:r w:rsidR="001F4410" w:rsidRPr="000E2505">
              <w:rPr>
                <w:rFonts w:ascii="Arial" w:hAnsi="Arial" w:cs="Arial"/>
                <w:sz w:val="20"/>
                <w:szCs w:val="20"/>
              </w:rPr>
              <w:t>2 700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titulů z fondu; </w:t>
            </w:r>
            <w:r w:rsidR="001F4410" w:rsidRPr="000E2505">
              <w:rPr>
                <w:rFonts w:ascii="Arial" w:hAnsi="Arial" w:cs="Arial"/>
                <w:sz w:val="20"/>
                <w:szCs w:val="20"/>
              </w:rPr>
              <w:t>zrevidované záznamy poslány do Souborného katalogu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46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Etnologický ústav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 – Kabinet hudební historie (knihovna)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Rekatalogizace fondu knihovny Kabinetu hudební historie EÚ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 –                pokračování</w:t>
            </w:r>
            <w:r w:rsidR="00537B66" w:rsidRPr="000E2505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95 000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95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37B66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37B66" w:rsidP="00537B66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knih z l. 1963-1971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metodou de </w:t>
            </w:r>
            <w:proofErr w:type="gramStart"/>
            <w:r w:rsidR="003668DE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; do SK ČR </w:t>
            </w:r>
            <w:r w:rsidRPr="000E2505">
              <w:rPr>
                <w:rFonts w:ascii="Arial" w:hAnsi="Arial" w:cs="Arial"/>
                <w:sz w:val="20"/>
                <w:szCs w:val="20"/>
              </w:rPr>
              <w:t>dodáno celkově 3001 záznamů, z toho na VISK připadá min. 2650 nových záznamů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012" w:rsidRPr="00381CF8" w:rsidTr="00E167E7">
        <w:trPr>
          <w:trHeight w:val="151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F11012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Historický ústav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 - knihovna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F11012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konverze lístkového katalogu knihovny HÚ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120</w:t>
            </w:r>
            <w:r w:rsidR="00F11012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120</w:t>
            </w:r>
            <w:r w:rsidR="00F11012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BA1C7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F1101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12" w:rsidRPr="000E2505" w:rsidRDefault="00F11012" w:rsidP="00BA1C72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Retrokonverze jedinečného, na české dějiny zaměřeného, profilovaného fondu; z dotace VISK 5 vytvořeno 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8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 000 záznamů, z provozních nákladů 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dalších 4 901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záznamů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; všechny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12" w:rsidRPr="000E2505" w:rsidRDefault="00F11012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E167E7">
        <w:trPr>
          <w:trHeight w:val="170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>Jihočeská vědecká knihovna v Českých Budějovicích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Retrokatalogizace fondu hudebnin JVK v Českých Budějovicích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 xml:space="preserve"> III.</w:t>
            </w:r>
            <w:r w:rsidR="00F11012" w:rsidRPr="000E2505">
              <w:rPr>
                <w:rFonts w:ascii="Arial" w:hAnsi="Arial" w:cs="Arial"/>
                <w:sz w:val="20"/>
                <w:szCs w:val="20"/>
              </w:rPr>
              <w:t xml:space="preserve"> – pokračování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56FB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24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56FB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24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F1101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56FB5" w:rsidP="00356FB5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Ojedinělý regionální fond; dokončeno 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zpracování studijních partitur a notového materiálu děl Ant. Dvořáka, pokračováno v  retrokatalogizaci hudebnin s různorodým obsahem;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68DE" w:rsidRPr="00381CF8" w:rsidTr="00E167E7">
        <w:trPr>
          <w:trHeight w:val="1763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Jihočeská vědecká knihovna v Českých Budějovicích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BA1C72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Retrokatalogizace fondu bývalé knihovny Koleje redemptoristů v Českých Budějovicích – literatura 19. a počátku 20. století</w:t>
            </w:r>
            <w:r w:rsidR="00356FB5" w:rsidRPr="000E250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3</w:t>
            </w:r>
            <w:r w:rsidR="00356FB5" w:rsidRPr="000E2505">
              <w:rPr>
                <w:rFonts w:ascii="Arial" w:hAnsi="Arial" w:cs="Arial"/>
                <w:sz w:val="20"/>
                <w:szCs w:val="20"/>
              </w:rPr>
              <w:t>. etapa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120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120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BA1C7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56FB5" w:rsidP="00BA1C72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Zpracováno </w:t>
            </w:r>
            <w:r w:rsidR="00BA1C72" w:rsidRPr="000E2505">
              <w:rPr>
                <w:rFonts w:ascii="Arial" w:hAnsi="Arial" w:cs="Arial"/>
                <w:sz w:val="20"/>
                <w:szCs w:val="20"/>
              </w:rPr>
              <w:t>3 173 svazků, z toho 192 svazků periodik; bibliografické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záznamy a záznamy autorit prošly supervizí; v případě potřeby doplněno či upraveno věcné zpracování;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E167E7">
        <w:trPr>
          <w:trHeight w:val="140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Knihovna Akademie věd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AD5622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konverze generálního lístkového katalogu Knihovny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  <w:r w:rsidR="00356FB5" w:rsidRPr="000E250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AD5622" w:rsidRPr="000E2505">
              <w:rPr>
                <w:rFonts w:ascii="Arial" w:hAnsi="Arial" w:cs="Arial"/>
                <w:sz w:val="20"/>
                <w:szCs w:val="20"/>
              </w:rPr>
              <w:t>dokončení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440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440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 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AD562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37 000</w:t>
            </w:r>
          </w:p>
          <w:p w:rsidR="00356FB5" w:rsidRPr="000E2505" w:rsidRDefault="00356FB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F5492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Vytvořené záznamy odeslány do SK ČR; pokračování </w:t>
            </w:r>
            <w:r w:rsidR="00AD5622" w:rsidRPr="000E2505">
              <w:rPr>
                <w:rFonts w:ascii="Arial" w:hAnsi="Arial" w:cs="Arial"/>
                <w:sz w:val="20"/>
                <w:szCs w:val="20"/>
              </w:rPr>
              <w:t>v retrokonverzi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starých tisků (3 </w:t>
            </w:r>
            <w:r w:rsidR="00F54920" w:rsidRPr="000E2505">
              <w:rPr>
                <w:rFonts w:ascii="Arial" w:hAnsi="Arial" w:cs="Arial"/>
                <w:sz w:val="20"/>
                <w:szCs w:val="20"/>
              </w:rPr>
              <w:t>000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záznamů</w:t>
            </w:r>
            <w:r w:rsidR="00AD5622" w:rsidRPr="000E2505">
              <w:rPr>
                <w:rFonts w:ascii="Arial" w:hAnsi="Arial" w:cs="Arial"/>
                <w:sz w:val="20"/>
                <w:szCs w:val="20"/>
              </w:rPr>
              <w:t xml:space="preserve"> z celkové sumy</w:t>
            </w:r>
            <w:r w:rsidRPr="000E2505">
              <w:rPr>
                <w:rFonts w:ascii="Arial" w:hAnsi="Arial" w:cs="Arial"/>
                <w:sz w:val="20"/>
                <w:szCs w:val="20"/>
              </w:rPr>
              <w:t>) a jejich digitalizace</w:t>
            </w:r>
            <w:r w:rsidR="00AD5622" w:rsidRPr="000E2505">
              <w:rPr>
                <w:rFonts w:ascii="Arial" w:hAnsi="Arial" w:cs="Arial"/>
                <w:sz w:val="20"/>
                <w:szCs w:val="20"/>
              </w:rPr>
              <w:t>; zvýšený zájem veřejnosti o sbírku starých tisků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5088" w:rsidRPr="00381CF8" w:rsidTr="00E167E7">
        <w:trPr>
          <w:trHeight w:val="140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Knihovna Akademie věd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F45A3E" w:rsidP="00356FB5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katalogizace periodik z fondu Knihovny AV ČR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68 000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13 000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F45A3E" w:rsidP="00F45A3E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i/>
                <w:sz w:val="18"/>
                <w:szCs w:val="18"/>
              </w:rPr>
              <w:t xml:space="preserve">Knihovna Akademie věd ČR </w:t>
            </w:r>
            <w:r w:rsidR="000E2505">
              <w:rPr>
                <w:rFonts w:ascii="Arial" w:hAnsi="Arial" w:cs="Arial"/>
                <w:i/>
                <w:sz w:val="18"/>
                <w:szCs w:val="18"/>
              </w:rPr>
              <w:t xml:space="preserve">žádala o dotaci ve výši </w:t>
            </w:r>
            <w:r w:rsidRPr="000E2505">
              <w:rPr>
                <w:rFonts w:ascii="Arial" w:hAnsi="Arial" w:cs="Arial"/>
                <w:i/>
                <w:sz w:val="18"/>
                <w:szCs w:val="18"/>
              </w:rPr>
              <w:t xml:space="preserve">68 000 Kč, po sdělení, že požadovaná dotace byla snížena na </w:t>
            </w:r>
            <w:r w:rsidRPr="000E2505">
              <w:rPr>
                <w:rFonts w:ascii="Arial" w:hAnsi="Arial" w:cs="Arial"/>
                <w:i/>
                <w:sz w:val="18"/>
                <w:szCs w:val="18"/>
              </w:rPr>
              <w:t>13</w:t>
            </w:r>
            <w:r w:rsidRPr="000E2505">
              <w:rPr>
                <w:rFonts w:ascii="Arial" w:hAnsi="Arial" w:cs="Arial"/>
                <w:i/>
                <w:sz w:val="18"/>
                <w:szCs w:val="18"/>
              </w:rPr>
              <w:t> 000 Kč, od realizace projektu ustoupila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483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Městská knihovna v Praze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konverze nejstarších a nejvzácnějších hudebnin z fondu hudební knihovny Městské knihovny v Praze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F549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165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F549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165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F549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F54920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konverzi 4500 provedla firma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Comdat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, s.r.o.; záznamy odeslány do SK ČR a nahrány do systému NRIS, kde jsou přístupné široké veřejnosti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E167E7">
        <w:trPr>
          <w:trHeight w:val="1231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>Moravská galerie v Brně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305561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Pokračování retrokatalogizace fondu knihovny Moravské galerie v</w:t>
            </w:r>
            <w:r w:rsidR="00F54920" w:rsidRPr="000E2505">
              <w:rPr>
                <w:rFonts w:ascii="Arial" w:hAnsi="Arial" w:cs="Arial"/>
                <w:sz w:val="20"/>
                <w:szCs w:val="20"/>
              </w:rPr>
              <w:t> </w:t>
            </w:r>
            <w:r w:rsidRPr="000E2505">
              <w:rPr>
                <w:rFonts w:ascii="Arial" w:hAnsi="Arial" w:cs="Arial"/>
                <w:sz w:val="20"/>
                <w:szCs w:val="20"/>
              </w:rPr>
              <w:t>Brně</w:t>
            </w:r>
            <w:r w:rsidR="00F54920"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05561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F5492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Postupná retrokatalogizace fondu knihovny Moravské galerie v</w:t>
            </w:r>
            <w:r w:rsidR="00F54920" w:rsidRPr="000E2505">
              <w:rPr>
                <w:rFonts w:ascii="Arial" w:hAnsi="Arial" w:cs="Arial"/>
                <w:sz w:val="20"/>
                <w:szCs w:val="20"/>
              </w:rPr>
              <w:t> </w:t>
            </w:r>
            <w:r w:rsidRPr="000E2505">
              <w:rPr>
                <w:rFonts w:ascii="Arial" w:hAnsi="Arial" w:cs="Arial"/>
                <w:sz w:val="20"/>
                <w:szCs w:val="20"/>
              </w:rPr>
              <w:t>Brně</w:t>
            </w:r>
            <w:r w:rsidR="00F54920" w:rsidRPr="000E2505">
              <w:rPr>
                <w:rFonts w:ascii="Arial" w:hAnsi="Arial" w:cs="Arial"/>
                <w:sz w:val="20"/>
                <w:szCs w:val="20"/>
              </w:rPr>
              <w:t xml:space="preserve"> metodou de </w:t>
            </w:r>
            <w:proofErr w:type="gramStart"/>
            <w:r w:rsidR="00F54920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305561" w:rsidRPr="000E2505">
              <w:rPr>
                <w:rFonts w:ascii="Arial" w:hAnsi="Arial" w:cs="Arial"/>
                <w:sz w:val="20"/>
                <w:szCs w:val="20"/>
              </w:rPr>
              <w:t xml:space="preserve"> dle platných knihovnických standardů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68DE" w:rsidRPr="00381CF8" w:rsidTr="000E2505">
        <w:trPr>
          <w:trHeight w:val="144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Moravská zemská knihovna</w:t>
            </w:r>
            <w:r w:rsidR="005A7020" w:rsidRPr="000E2505">
              <w:rPr>
                <w:rFonts w:ascii="Arial" w:hAnsi="Arial" w:cs="Arial"/>
                <w:sz w:val="20"/>
                <w:szCs w:val="20"/>
              </w:rPr>
              <w:t xml:space="preserve"> v Brně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konverze fondu Moravské zemské knihovny </w:t>
            </w:r>
            <w:r w:rsidR="009C6D46" w:rsidRPr="000E2505">
              <w:rPr>
                <w:rFonts w:ascii="Arial" w:hAnsi="Arial" w:cs="Arial"/>
                <w:sz w:val="20"/>
                <w:szCs w:val="20"/>
              </w:rPr>
              <w:t xml:space="preserve">v Brně </w:t>
            </w:r>
            <w:r w:rsidRPr="000E2505">
              <w:rPr>
                <w:rFonts w:ascii="Arial" w:hAnsi="Arial" w:cs="Arial"/>
                <w:sz w:val="20"/>
                <w:szCs w:val="20"/>
              </w:rPr>
              <w:t>(pokračování)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9C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817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817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B34B2C" w:rsidP="009C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38 560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9C6D46" w:rsidP="00B34B2C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Přednostní zpracování </w:t>
            </w:r>
            <w:r w:rsidR="00B34B2C" w:rsidRPr="000E2505">
              <w:rPr>
                <w:rFonts w:ascii="Arial" w:hAnsi="Arial" w:cs="Arial"/>
                <w:sz w:val="20"/>
                <w:szCs w:val="20"/>
              </w:rPr>
              <w:t>nejžádanějších lokací; propojování autorů se stávajícími v BD Národních autorit;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020" w:rsidRPr="00381CF8" w:rsidTr="00E167E7">
        <w:trPr>
          <w:trHeight w:val="182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Moravská zemská knihovna v Brně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006460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konverze jihomoravských historických sbírek (pokračovací)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9C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134 000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134 000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006460" w:rsidP="009C6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006460" w:rsidP="0000646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Vytvoření 5 150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exemplářových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 xml:space="preserve"> záznamů převážně starých tisků z klášterních knihoven v Dačicích a Brně; pro tvorbu záhlaví využita DB Národních autorit;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E167E7">
        <w:trPr>
          <w:trHeight w:val="182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Moravské zemské muzeum v Brně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Tvorba a rozvoj centrální databáze knižních a časopiseckých fondů knihovny MZM </w:t>
            </w:r>
            <w:r w:rsidR="001F17E6" w:rsidRPr="000E2505">
              <w:rPr>
                <w:rFonts w:ascii="Arial" w:hAnsi="Arial" w:cs="Arial"/>
                <w:sz w:val="20"/>
                <w:szCs w:val="20"/>
              </w:rPr>
              <w:t xml:space="preserve">pomocí technologie </w:t>
            </w:r>
            <w:r w:rsidR="00006460" w:rsidRPr="000E2505">
              <w:rPr>
                <w:rFonts w:ascii="Arial" w:hAnsi="Arial" w:cs="Arial"/>
                <w:sz w:val="20"/>
                <w:szCs w:val="20"/>
              </w:rPr>
              <w:t>RETROKON 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49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49 00</w:t>
            </w:r>
            <w:r w:rsidR="006735DE" w:rsidRPr="000E2505">
              <w:rPr>
                <w:rFonts w:ascii="Arial" w:hAnsi="Arial" w:cs="Arial"/>
                <w:sz w:val="20"/>
                <w:szCs w:val="20"/>
              </w:rPr>
              <w:t>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00646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006460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Zhotoveno 4 714 záznamů, z toho do SK CŘ přijato 4 140 záznamů; zpracovány fondy Historického oddělení, Archeologického ústavu, Oddělení dějin divadla, Oddělení dějin hudby, Botanického oddělení a Ústřední knihovny MZM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088" w:rsidRPr="00381CF8" w:rsidTr="00E167E7">
        <w:trPr>
          <w:trHeight w:val="182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Muzeum Českého ráje v Turnově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AD5622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Retrokonverze a rekatalogizace sbírky starých tisků Muzea Českého ráje v Turnově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65 000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65 000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AD562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2 712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AD5622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Retrokonverze a retrokatalogizace první části sbírky starých tisků; zpracování v širším rozsahu než je minimální záznam; přínos pro uživatele – záznamy přístupné v on-line katalogu knihovny;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40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>Národní knihovna ČR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065B7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konverze G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enerálního katalogu univerzálního KF I NK ČR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691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691</w:t>
            </w:r>
            <w:r w:rsidR="009C6D46"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065B7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18</w:t>
            </w:r>
            <w:r w:rsidR="009C6D46" w:rsidRPr="000E2505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4065B7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Převod katalogů NK ČR do formátu MARC21, předvýběr 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40 450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záznamů a zpracování 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18</w:t>
            </w:r>
            <w:r w:rsidR="009C6D46" w:rsidRPr="000E2505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 xml:space="preserve">nových </w:t>
            </w:r>
            <w:r w:rsidRPr="000E2505">
              <w:rPr>
                <w:rFonts w:ascii="Arial" w:hAnsi="Arial" w:cs="Arial"/>
                <w:sz w:val="20"/>
                <w:szCs w:val="20"/>
              </w:rPr>
              <w:t>záznamů zpřístupněných v bázi NKC a předaných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68DE" w:rsidRPr="00381CF8" w:rsidTr="00E167E7">
        <w:trPr>
          <w:trHeight w:val="147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Národní knihovna ČR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3B5F65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katalogizace periodik vydávaných na území ČR </w:t>
            </w:r>
            <w:r w:rsidR="003B5F65" w:rsidRPr="000E2505">
              <w:rPr>
                <w:rFonts w:ascii="Arial" w:hAnsi="Arial" w:cs="Arial"/>
                <w:sz w:val="20"/>
                <w:szCs w:val="20"/>
              </w:rPr>
              <w:t>pro Českou národní bibliografii - 2014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B5F65" w:rsidP="001A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74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B5F6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74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1A6174" w:rsidP="003B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B5F65" w:rsidRPr="000E2505">
              <w:rPr>
                <w:rFonts w:ascii="Arial" w:hAnsi="Arial" w:cs="Arial"/>
                <w:sz w:val="20"/>
                <w:szCs w:val="20"/>
              </w:rPr>
              <w:t>1</w:t>
            </w:r>
            <w:r w:rsidRPr="000E250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B5F65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Doplnění DB České národní bibliografie o nezpracovaná periodika z období převážně před r. 1945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; revize záznamů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 xml:space="preserve"> a s nimi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souv</w:t>
            </w:r>
            <w:r w:rsidRPr="000E2505">
              <w:rPr>
                <w:rFonts w:ascii="Arial" w:hAnsi="Arial" w:cs="Arial"/>
                <w:sz w:val="20"/>
                <w:szCs w:val="20"/>
              </w:rPr>
              <w:t>isejících titulů; záznamy dodá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64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Národní knihovna ČR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1A6174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Rekatalogizace starých tisků uložených v oddělení rukopisů a starých tisků 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>NK ČR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225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5A7020" w:rsidP="001A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225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B5F6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Rekatalogizace části GK, záznamy ve formátu MARC21; převod záznamů do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Manuscriptoria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; směřuje k vytvoření jednotného katalogu starých tisků;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68DE" w:rsidRPr="00381CF8" w:rsidTr="000E2505">
        <w:trPr>
          <w:trHeight w:val="211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Národní muzeum – České muzeum hudby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1A6174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konverze katalogů hudebněhistorického oddělení </w:t>
            </w:r>
            <w:r w:rsidR="00006460" w:rsidRPr="000E2505">
              <w:rPr>
                <w:rFonts w:ascii="Arial" w:hAnsi="Arial" w:cs="Arial"/>
                <w:sz w:val="20"/>
                <w:szCs w:val="20"/>
              </w:rPr>
              <w:t>NM – ČMH – 9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>. etapa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445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4450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40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4065B7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Retrokonverzi provedla f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>irma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Comdat</w:t>
            </w:r>
            <w:proofErr w:type="spellEnd"/>
            <w:r w:rsidR="001A6174" w:rsidRPr="000E2505">
              <w:rPr>
                <w:rFonts w:ascii="Arial" w:hAnsi="Arial" w:cs="Arial"/>
                <w:sz w:val="20"/>
                <w:szCs w:val="20"/>
              </w:rPr>
              <w:t>, s.r.o.</w:t>
            </w:r>
            <w:r w:rsidRPr="000E2505">
              <w:rPr>
                <w:rFonts w:ascii="Arial" w:hAnsi="Arial" w:cs="Arial"/>
                <w:sz w:val="20"/>
                <w:szCs w:val="20"/>
              </w:rPr>
              <w:t>; kon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>trola záznamů a doplnění specifických odborných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údajů pracovníky ČMH; záznamy přístupné v online katalogu NM-ČMH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2505">
              <w:rPr>
                <w:rFonts w:ascii="Arial" w:hAnsi="Arial" w:cs="Arial"/>
                <w:sz w:val="20"/>
                <w:szCs w:val="20"/>
              </w:rPr>
              <w:t>do SK ČR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zasláno celkově 1 789 záznamů, z toho 1456</w:t>
            </w:r>
            <w:r w:rsidR="001A6174" w:rsidRPr="000E2505">
              <w:rPr>
                <w:rFonts w:ascii="Arial" w:hAnsi="Arial" w:cs="Arial"/>
                <w:sz w:val="20"/>
                <w:szCs w:val="20"/>
              </w:rPr>
              <w:t xml:space="preserve"> přijato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C85" w:rsidRPr="00381CF8" w:rsidTr="000E2505">
        <w:trPr>
          <w:trHeight w:val="139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Národní muzeum - knihovna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746C85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konverze Generálního jmenného kata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logu Knihovny NM - část česká, 8</w:t>
            </w:r>
            <w:r w:rsidRPr="000E2505">
              <w:rPr>
                <w:rFonts w:ascii="Arial" w:hAnsi="Arial" w:cs="Arial"/>
                <w:sz w:val="20"/>
                <w:szCs w:val="20"/>
              </w:rPr>
              <w:t>. etapa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317 000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221 </w:t>
            </w:r>
            <w:r w:rsidR="00746C85" w:rsidRPr="000E2505">
              <w:rPr>
                <w:rFonts w:ascii="Arial" w:hAnsi="Arial" w:cs="Arial"/>
                <w:sz w:val="20"/>
                <w:szCs w:val="20"/>
              </w:rPr>
              <w:t>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4065B7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4065B7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Výběr, přepis a kontrola záznamů; retrokonverzi provedla firma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Comdat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 xml:space="preserve"> s.r.o.; do SK ČR zasláno </w:t>
            </w:r>
            <w:r w:rsidR="004065B7" w:rsidRPr="000E2505">
              <w:rPr>
                <w:rFonts w:ascii="Arial" w:hAnsi="Arial" w:cs="Arial"/>
                <w:sz w:val="20"/>
                <w:szCs w:val="20"/>
              </w:rPr>
              <w:t>8 674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záznamů podpořených grantem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C85" w:rsidRPr="000E2505" w:rsidRDefault="00746C85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E167E7">
        <w:trPr>
          <w:trHeight w:val="1829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 xml:space="preserve">Národní pedagogické muzeum a knihovna </w:t>
            </w:r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J.A.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 xml:space="preserve"> Komenského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3B5F65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Retrospektivní konverze </w:t>
            </w:r>
            <w:r w:rsidR="003B5F65" w:rsidRPr="000E2505">
              <w:rPr>
                <w:rFonts w:ascii="Arial" w:hAnsi="Arial" w:cs="Arial"/>
                <w:sz w:val="20"/>
                <w:szCs w:val="20"/>
              </w:rPr>
              <w:t>unikátní kartotéky učebnic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 170 000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170 000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C406B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B5F65" w:rsidP="00140741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Zpracování analýzy kartotéky</w:t>
            </w:r>
            <w:r w:rsidR="00AC0462" w:rsidRPr="000E2505">
              <w:rPr>
                <w:rFonts w:ascii="Arial" w:hAnsi="Arial" w:cs="Arial"/>
                <w:sz w:val="20"/>
                <w:szCs w:val="20"/>
              </w:rPr>
              <w:t xml:space="preserve"> a seznamu deskriptorů; </w:t>
            </w:r>
            <w:r w:rsidR="00C406BE" w:rsidRPr="000E2505">
              <w:rPr>
                <w:rFonts w:ascii="Arial" w:hAnsi="Arial" w:cs="Arial"/>
                <w:sz w:val="20"/>
                <w:szCs w:val="20"/>
              </w:rPr>
              <w:t xml:space="preserve">testován zpětný věcný popis; pokračování v řešení problémových záznamů; </w:t>
            </w:r>
            <w:r w:rsidR="00AC0462" w:rsidRPr="000E2505">
              <w:rPr>
                <w:rFonts w:ascii="Arial" w:hAnsi="Arial" w:cs="Arial"/>
                <w:sz w:val="20"/>
                <w:szCs w:val="20"/>
              </w:rPr>
              <w:t xml:space="preserve">zpracování záznamů metodou de </w:t>
            </w:r>
            <w:proofErr w:type="gramStart"/>
            <w:r w:rsidR="00AC0462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AC0462" w:rsidRPr="000E2505">
              <w:rPr>
                <w:rFonts w:ascii="Arial" w:hAnsi="Arial" w:cs="Arial"/>
                <w:sz w:val="20"/>
                <w:szCs w:val="20"/>
              </w:rPr>
              <w:t>; záznamy předány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68DE" w:rsidRPr="00381CF8" w:rsidTr="00E167E7">
        <w:trPr>
          <w:trHeight w:val="2479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Národní</w:t>
            </w:r>
            <w:r w:rsidR="005A7020" w:rsidRPr="000E2505">
              <w:rPr>
                <w:rFonts w:ascii="Arial" w:hAnsi="Arial" w:cs="Arial"/>
                <w:sz w:val="20"/>
                <w:szCs w:val="20"/>
              </w:rPr>
              <w:t xml:space="preserve"> technické muzeum - knihovna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konverze historického fondu knihovny Národního technického muzea v rámci NPRK katalogů v ČR - RETROKON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180 000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297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</w:t>
            </w:r>
            <w:r w:rsidR="002972F9" w:rsidRPr="000E2505">
              <w:rPr>
                <w:rFonts w:ascii="Arial" w:hAnsi="Arial" w:cs="Arial"/>
                <w:sz w:val="20"/>
                <w:szCs w:val="20"/>
              </w:rPr>
              <w:t>80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Pokračo</w:t>
            </w:r>
            <w:r w:rsidR="00F83926" w:rsidRPr="000E2505">
              <w:rPr>
                <w:rFonts w:ascii="Arial" w:hAnsi="Arial" w:cs="Arial"/>
                <w:sz w:val="20"/>
                <w:szCs w:val="20"/>
              </w:rPr>
              <w:t>vání v retrokatalogizaci historických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fondů NTM </w:t>
            </w:r>
            <w:r w:rsidR="00907462" w:rsidRPr="000E2505">
              <w:rPr>
                <w:rFonts w:ascii="Arial" w:hAnsi="Arial" w:cs="Arial"/>
                <w:sz w:val="20"/>
                <w:szCs w:val="20"/>
              </w:rPr>
              <w:t xml:space="preserve">metodou de </w:t>
            </w:r>
            <w:proofErr w:type="gramStart"/>
            <w:r w:rsidR="00907462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907462"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2505">
              <w:rPr>
                <w:rFonts w:ascii="Arial" w:hAnsi="Arial" w:cs="Arial"/>
                <w:sz w:val="20"/>
                <w:szCs w:val="20"/>
              </w:rPr>
              <w:t>(převážně literatura z 19. stol., staré tisky ze 17. a 18. stol.); doplněno MDT, tvorba hesel tezauru; zpřístupnění záznamů v rámci online katalogu NTM a oborových bran (ART, TECH); záznamy dodány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5088" w:rsidRPr="00381CF8" w:rsidTr="000E2505">
        <w:trPr>
          <w:trHeight w:val="128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Orientální ústav AV ČR,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C406B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fondu Knihovny Orientálního ústavu AV ČR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35 000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297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35 000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370A99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370A99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Katalogizace monografií tematicky zaměřených na dějiny Číny 19. a 20. stol. metodou de </w:t>
            </w:r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; hotové záznamy předány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F9" w:rsidRPr="00381CF8" w:rsidTr="000E2505">
        <w:trPr>
          <w:trHeight w:val="6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Památník národního písemnictví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525 000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0</w:t>
            </w:r>
            <w:r w:rsidR="002972F9" w:rsidRPr="000E250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F9" w:rsidRPr="000E2505" w:rsidRDefault="002972F9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020" w:rsidRPr="00381CF8" w:rsidTr="000E2505">
        <w:trPr>
          <w:trHeight w:val="1421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Severočeské muzeum v Liberci,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p.o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370A99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nejstarší části studijního fondu knihovny Severočeského muzea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55 000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55 000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370A99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370A99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Retrokatalogizace publikací zejména z 19. stol. metodou de </w:t>
            </w:r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; záznamy doplněny o věcnou katalogizaci a konspekt; záznamy předány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20" w:rsidRPr="000E2505" w:rsidRDefault="005A7020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40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>Slezské zemské muzeum v Opavě – Ústřední knihovna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6971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Retrokatalogizace přírůstků z let 19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>58</w:t>
            </w:r>
            <w:r w:rsidRPr="000E2505">
              <w:rPr>
                <w:rFonts w:ascii="Arial" w:hAnsi="Arial" w:cs="Arial"/>
                <w:sz w:val="20"/>
                <w:szCs w:val="20"/>
              </w:rPr>
              <w:t>-19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>62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do elektronického katalogu Ústřední knihovny 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>SZM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06D" w:rsidRPr="000E2505">
              <w:rPr>
                <w:rFonts w:ascii="Arial" w:hAnsi="Arial" w:cs="Arial"/>
                <w:sz w:val="20"/>
                <w:szCs w:val="20"/>
              </w:rPr>
              <w:t>- pokračování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242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242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8DE" w:rsidRPr="000E2505" w:rsidRDefault="005174B6" w:rsidP="00697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12 500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E1206D" w:rsidP="006971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Dokončení retrokatalogizace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přírůstků z let 1958-1962 metodou de </w:t>
            </w:r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s využitím existujících záznamů v SK ČR</w:t>
            </w:r>
            <w:r w:rsidRPr="000E2505">
              <w:rPr>
                <w:rFonts w:ascii="Arial" w:hAnsi="Arial" w:cs="Arial"/>
                <w:sz w:val="20"/>
                <w:szCs w:val="20"/>
              </w:rPr>
              <w:t>; záznamy dodány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254B" w:rsidRPr="00381CF8" w:rsidTr="00E167E7">
        <w:trPr>
          <w:trHeight w:val="153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14254B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Studijní a vědecká knihovna v Hradci Králové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A99" w:rsidRPr="000E2505" w:rsidRDefault="00370A99" w:rsidP="00370A99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Zpracování a zpřístupnění knihovny prof. Františka Černého v elektronickém katalogu</w:t>
            </w:r>
          </w:p>
          <w:p w:rsidR="0014254B" w:rsidRPr="000E2505" w:rsidRDefault="0014254B" w:rsidP="00697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36 000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36 000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4B" w:rsidRPr="000E2505" w:rsidRDefault="00907462" w:rsidP="00697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907462" w:rsidP="006971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Zpracování a zpřístupnění části osobní knihovny prof. PhDr. Fr. Černého; tvorba záznamů jmenných autorit; uloženo, zkontrolováno, opraveno a nově vytvořeno celkem 1 200 záznamů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4B" w:rsidRPr="000E2505" w:rsidRDefault="0014254B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64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Studijní a vědecká knihovna Plzeňského kraje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knihovního fondu SVK Plzeňského kraje, uloženého v depozitáři Bušovice, a jeho zpřístupnění na internetu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95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95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907462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3 402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907462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a zpřístupnění</w:t>
            </w:r>
            <w:r w:rsidR="00907462" w:rsidRPr="000E2505">
              <w:rPr>
                <w:rFonts w:ascii="Arial" w:hAnsi="Arial" w:cs="Arial"/>
                <w:sz w:val="20"/>
                <w:szCs w:val="20"/>
              </w:rPr>
              <w:t xml:space="preserve"> fondu </w:t>
            </w:r>
            <w:r w:rsidRPr="000E2505">
              <w:rPr>
                <w:rFonts w:ascii="Arial" w:hAnsi="Arial" w:cs="Arial"/>
                <w:sz w:val="20"/>
                <w:szCs w:val="20"/>
              </w:rPr>
              <w:t>v online katalogu; záznamy ve formátu MARC21;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DE" w:rsidRPr="00381CF8" w:rsidTr="000E2505">
        <w:trPr>
          <w:trHeight w:val="1269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Studijní a vědecká knihovna Plzeňského kraje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13A16" w:rsidP="00ED757F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Rekatalogizace fondu 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Pilsnensií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 xml:space="preserve"> SVK Plzeňského kraje a jeho zpřístupnění na Internetu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14254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14254B" w:rsidP="00E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50</w:t>
            </w:r>
            <w:r w:rsidR="003668DE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13A16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413A16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a revize záznamů a jejich zpřístupnění v online katalogu; záznamy ve formátu MARC21; záznamy odeslány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DE" w:rsidRPr="000E2505" w:rsidRDefault="003668DE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757F" w:rsidRPr="00381CF8" w:rsidTr="00E167E7">
        <w:trPr>
          <w:trHeight w:val="1763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Uměleckoprůmyslové museum v Praze  - knihovna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F45A3E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Pokračování v retrokatalogizaci přírůstků knih z let </w:t>
            </w:r>
            <w:r w:rsidR="00F45A3E" w:rsidRPr="000E2505">
              <w:rPr>
                <w:rFonts w:ascii="Arial" w:hAnsi="Arial" w:cs="Arial"/>
                <w:sz w:val="20"/>
                <w:szCs w:val="20"/>
              </w:rPr>
              <w:t>1897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F45A3E" w:rsidRPr="000E2505">
              <w:rPr>
                <w:rFonts w:ascii="Arial" w:hAnsi="Arial" w:cs="Arial"/>
                <w:sz w:val="20"/>
                <w:szCs w:val="20"/>
              </w:rPr>
              <w:t>1885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do elektronického katalogu v Knihovně </w:t>
            </w:r>
            <w:r w:rsidR="00A87393" w:rsidRPr="000E2505">
              <w:rPr>
                <w:rFonts w:ascii="Arial" w:hAnsi="Arial" w:cs="Arial"/>
                <w:sz w:val="20"/>
                <w:szCs w:val="20"/>
              </w:rPr>
              <w:t>UMPRUM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A87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</w:t>
            </w:r>
            <w:r w:rsidR="00A87393" w:rsidRPr="000E2505">
              <w:rPr>
                <w:rFonts w:ascii="Arial" w:hAnsi="Arial" w:cs="Arial"/>
                <w:sz w:val="20"/>
                <w:szCs w:val="20"/>
              </w:rPr>
              <w:t>1</w:t>
            </w:r>
            <w:r w:rsidRPr="000E2505">
              <w:rPr>
                <w:rFonts w:ascii="Arial" w:hAnsi="Arial" w:cs="Arial"/>
                <w:sz w:val="20"/>
                <w:szCs w:val="20"/>
              </w:rPr>
              <w:t>0 000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A87393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110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FA3831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FA3831" w:rsidP="00FA3831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Zpracovány přírůstky z l. 1897-1885; dokončena r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etrokatalogizace </w:t>
            </w:r>
            <w:r w:rsidRPr="000E2505">
              <w:rPr>
                <w:rFonts w:ascii="Arial" w:hAnsi="Arial" w:cs="Arial"/>
                <w:sz w:val="20"/>
                <w:szCs w:val="20"/>
              </w:rPr>
              <w:t>fondu monografií</w:t>
            </w:r>
            <w:r w:rsidR="00A87393" w:rsidRPr="000E2505">
              <w:rPr>
                <w:rFonts w:ascii="Arial" w:hAnsi="Arial" w:cs="Arial"/>
                <w:sz w:val="20"/>
                <w:szCs w:val="20"/>
              </w:rPr>
              <w:t xml:space="preserve"> metodou de </w:t>
            </w:r>
            <w:proofErr w:type="gramStart"/>
            <w:r w:rsidR="00A87393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ED757F" w:rsidRPr="000E2505">
              <w:rPr>
                <w:rFonts w:ascii="Arial" w:hAnsi="Arial" w:cs="Arial"/>
                <w:sz w:val="20"/>
                <w:szCs w:val="20"/>
              </w:rPr>
              <w:t>; záznamy opatřeny výrazy tezauru a znaky MDT; záznamy přístupné v online katalogu</w:t>
            </w:r>
            <w:r w:rsidRPr="000E2505">
              <w:rPr>
                <w:rFonts w:ascii="Arial" w:hAnsi="Arial" w:cs="Arial"/>
                <w:sz w:val="20"/>
                <w:szCs w:val="20"/>
              </w:rPr>
              <w:t>; nárůst žádostí MVS; do SK ČR dodáno 3 126</w:t>
            </w:r>
            <w:r w:rsidR="00A87393" w:rsidRPr="000E2505">
              <w:rPr>
                <w:rFonts w:ascii="Arial" w:hAnsi="Arial" w:cs="Arial"/>
                <w:sz w:val="20"/>
                <w:szCs w:val="20"/>
              </w:rPr>
              <w:t xml:space="preserve"> a přijato </w:t>
            </w:r>
            <w:r w:rsidRPr="000E2505">
              <w:rPr>
                <w:rFonts w:ascii="Arial" w:hAnsi="Arial" w:cs="Arial"/>
                <w:sz w:val="20"/>
                <w:szCs w:val="20"/>
              </w:rPr>
              <w:t>3 023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757F" w:rsidRPr="00381CF8" w:rsidTr="00E167E7">
        <w:trPr>
          <w:trHeight w:val="1559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lastRenderedPageBreak/>
              <w:t>Univerzita Karlova v Praze, Fakulta sociálních věd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Retrokatalogizace unikátního novinářského fondu SVI FSV UK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172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 000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445088" w:rsidP="006971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172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FA3831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10 771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FA3831" w:rsidP="00FA3831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včetně j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menné</w:t>
            </w:r>
            <w:r w:rsidRPr="000E2505">
              <w:rPr>
                <w:rFonts w:ascii="Arial" w:hAnsi="Arial" w:cs="Arial"/>
                <w:sz w:val="20"/>
                <w:szCs w:val="20"/>
              </w:rPr>
              <w:t>ho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 a věcné</w:t>
            </w:r>
            <w:r w:rsidRPr="000E2505">
              <w:rPr>
                <w:rFonts w:ascii="Arial" w:hAnsi="Arial" w:cs="Arial"/>
                <w:sz w:val="20"/>
                <w:szCs w:val="20"/>
              </w:rPr>
              <w:t>ho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 zpracování záznamů; záznamy</w:t>
            </w:r>
            <w:r w:rsidR="00F83926" w:rsidRPr="000E2505">
              <w:rPr>
                <w:rFonts w:ascii="Arial" w:hAnsi="Arial" w:cs="Arial"/>
                <w:sz w:val="20"/>
                <w:szCs w:val="20"/>
              </w:rPr>
              <w:t xml:space="preserve"> součástí automatizovaného výpůjčního 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systému; záznamy předány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F" w:rsidRPr="00381CF8" w:rsidTr="000E2505">
        <w:trPr>
          <w:trHeight w:val="1495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Univerzita Karlova v Praze, Filozofická fakulta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Retrospektivní katalogizace živého knihovního fondu slovanské filologie FF UK v Praze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825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825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7A1180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52 597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7A11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Retrokatalogizace fondu slovanské filologie </w:t>
            </w:r>
            <w:r w:rsidR="007A1180" w:rsidRPr="000E250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0E2505">
              <w:rPr>
                <w:rFonts w:ascii="Arial" w:hAnsi="Arial" w:cs="Arial"/>
                <w:sz w:val="20"/>
                <w:szCs w:val="20"/>
              </w:rPr>
              <w:t>využití</w:t>
            </w:r>
            <w:r w:rsidR="007A1180" w:rsidRPr="000E2505">
              <w:rPr>
                <w:rFonts w:ascii="Arial" w:hAnsi="Arial" w:cs="Arial"/>
                <w:sz w:val="20"/>
                <w:szCs w:val="20"/>
              </w:rPr>
              <w:t>m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 již existujících záznamů; věcné zpracování; záznamy v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 xml:space="preserve"> Centrálním </w:t>
            </w:r>
            <w:r w:rsidRPr="000E2505">
              <w:rPr>
                <w:rFonts w:ascii="Arial" w:hAnsi="Arial" w:cs="Arial"/>
                <w:sz w:val="20"/>
                <w:szCs w:val="20"/>
              </w:rPr>
              <w:t>katalogu</w:t>
            </w:r>
            <w:r w:rsidR="00697180" w:rsidRPr="000E2505">
              <w:rPr>
                <w:rFonts w:ascii="Arial" w:hAnsi="Arial" w:cs="Arial"/>
                <w:sz w:val="20"/>
                <w:szCs w:val="20"/>
              </w:rPr>
              <w:t xml:space="preserve"> UK</w:t>
            </w:r>
            <w:r w:rsidRPr="000E2505">
              <w:rPr>
                <w:rFonts w:ascii="Arial" w:hAnsi="Arial" w:cs="Arial"/>
                <w:sz w:val="20"/>
                <w:szCs w:val="20"/>
              </w:rPr>
              <w:t>; předání záznamů do 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088" w:rsidRPr="00381CF8" w:rsidTr="00E167E7">
        <w:trPr>
          <w:trHeight w:val="182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Ústav mezinárodních vztahů, </w:t>
            </w:r>
            <w:proofErr w:type="spellStart"/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v.v.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DD" w:rsidRPr="000E2505" w:rsidRDefault="00574DDD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specializovaného fondu knihovny ÚMV</w:t>
            </w:r>
          </w:p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50 000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45 000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574DDD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574DDD" w:rsidP="006971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 xml:space="preserve">Rekatalogizace specializovaného unikátního fondu metodou de </w:t>
            </w:r>
            <w:proofErr w:type="gramStart"/>
            <w:r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Pr="000E2505">
              <w:rPr>
                <w:rFonts w:ascii="Arial" w:hAnsi="Arial" w:cs="Arial"/>
                <w:sz w:val="20"/>
                <w:szCs w:val="20"/>
              </w:rPr>
              <w:t>; doplněny deskriptory a výběrově klíčová slova; kontrola záznamů a export do SK ČR; záznamy přístupné v </w:t>
            </w:r>
            <w:proofErr w:type="spellStart"/>
            <w:r w:rsidRPr="000E2505">
              <w:rPr>
                <w:rFonts w:ascii="Arial" w:hAnsi="Arial" w:cs="Arial"/>
                <w:sz w:val="20"/>
                <w:szCs w:val="20"/>
              </w:rPr>
              <w:t>OPACu</w:t>
            </w:r>
            <w:proofErr w:type="spellEnd"/>
            <w:r w:rsidRPr="000E2505">
              <w:rPr>
                <w:rFonts w:ascii="Arial" w:hAnsi="Arial" w:cs="Arial"/>
                <w:sz w:val="20"/>
                <w:szCs w:val="20"/>
              </w:rPr>
              <w:t xml:space="preserve"> knihovny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88" w:rsidRPr="000E2505" w:rsidRDefault="00445088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F" w:rsidRPr="00381CF8" w:rsidTr="00E167E7">
        <w:trPr>
          <w:trHeight w:val="2614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Ústav ze</w:t>
            </w:r>
            <w:r w:rsidR="00CA59DB" w:rsidRPr="000E2505">
              <w:rPr>
                <w:rFonts w:ascii="Arial" w:hAnsi="Arial" w:cs="Arial"/>
                <w:sz w:val="20"/>
                <w:szCs w:val="20"/>
              </w:rPr>
              <w:t>mědělské ekonomiky a informací - knihovna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Rekatalogizace zemědělské a potravinářské literatury v</w:t>
            </w:r>
            <w:r w:rsidR="00574DDD" w:rsidRPr="000E2505">
              <w:rPr>
                <w:rFonts w:ascii="Arial" w:hAnsi="Arial" w:cs="Arial"/>
                <w:sz w:val="20"/>
                <w:szCs w:val="20"/>
              </w:rPr>
              <w:t> KAŠ 2014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CA59D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27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 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CA59DB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27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574DDD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Záznamy zpracovány metodou</w:t>
            </w:r>
            <w:r w:rsidR="00CA59DB" w:rsidRPr="000E25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gramStart"/>
            <w:r w:rsidR="00CA59DB" w:rsidRPr="000E2505">
              <w:rPr>
                <w:rFonts w:ascii="Arial" w:hAnsi="Arial" w:cs="Arial"/>
                <w:sz w:val="20"/>
                <w:szCs w:val="20"/>
              </w:rPr>
              <w:t>visu</w:t>
            </w:r>
            <w:proofErr w:type="gramEnd"/>
            <w:r w:rsidR="00CA59DB" w:rsidRPr="000E2505">
              <w:rPr>
                <w:rFonts w:ascii="Arial" w:hAnsi="Arial" w:cs="Arial"/>
                <w:sz w:val="20"/>
                <w:szCs w:val="20"/>
              </w:rPr>
              <w:t>; existující záznamy pře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jaty pomocí protokolu Z39.50, ostatní zpracovány nově; </w:t>
            </w:r>
            <w:r w:rsidR="00CA59DB" w:rsidRPr="000E2505">
              <w:rPr>
                <w:rFonts w:ascii="Arial" w:hAnsi="Arial" w:cs="Arial"/>
                <w:sz w:val="20"/>
                <w:szCs w:val="20"/>
              </w:rPr>
              <w:t xml:space="preserve">využíván soubor národních autorit; 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vložena hesla z tezauru AGROTERM, doplněno MDT a konspekt; záznamy přístupné přes online katalog knihovny a </w:t>
            </w:r>
            <w:r w:rsidR="00574DDD" w:rsidRPr="000E2505">
              <w:rPr>
                <w:rFonts w:ascii="Arial" w:hAnsi="Arial" w:cs="Arial"/>
                <w:sz w:val="20"/>
                <w:szCs w:val="20"/>
              </w:rPr>
              <w:t xml:space="preserve">dodány do </w:t>
            </w:r>
            <w:r w:rsidRPr="000E2505">
              <w:rPr>
                <w:rFonts w:ascii="Arial" w:hAnsi="Arial" w:cs="Arial"/>
                <w:sz w:val="20"/>
                <w:szCs w:val="20"/>
              </w:rPr>
              <w:t>SK ČR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757F" w:rsidRPr="00381CF8" w:rsidTr="000E2505">
        <w:trPr>
          <w:trHeight w:val="1402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Vědecká knihovna v Olomouci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6735DE" w:rsidP="006735DE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Bohemika 19. a 20. století - r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 xml:space="preserve">etrokonverze záznamů </w:t>
            </w:r>
            <w:r w:rsidRPr="000E2505">
              <w:rPr>
                <w:rFonts w:ascii="Arial" w:hAnsi="Arial" w:cs="Arial"/>
                <w:sz w:val="20"/>
                <w:szCs w:val="20"/>
              </w:rPr>
              <w:t xml:space="preserve">bohemik 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z gener</w:t>
            </w:r>
            <w:r w:rsidRPr="000E2505">
              <w:rPr>
                <w:rFonts w:ascii="Arial" w:hAnsi="Arial" w:cs="Arial"/>
                <w:sz w:val="20"/>
                <w:szCs w:val="20"/>
              </w:rPr>
              <w:t>álního lístkového katalogu VKOL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6735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56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6735DE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56</w:t>
            </w:r>
            <w:r w:rsidR="00ED757F" w:rsidRPr="000E2505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6735DE" w:rsidP="00D55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2 7</w:t>
            </w:r>
            <w:r w:rsidR="00D55880" w:rsidRPr="000E250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6735DE" w:rsidP="00D55880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Přepis záznam</w:t>
            </w:r>
            <w:r w:rsidR="00D55880" w:rsidRPr="000E2505">
              <w:rPr>
                <w:rFonts w:ascii="Arial" w:hAnsi="Arial" w:cs="Arial"/>
                <w:sz w:val="20"/>
                <w:szCs w:val="20"/>
              </w:rPr>
              <w:t xml:space="preserve">ů bohemik do databázové podoby, </w:t>
            </w:r>
            <w:r w:rsidRPr="000E2505">
              <w:rPr>
                <w:rFonts w:ascii="Arial" w:hAnsi="Arial" w:cs="Arial"/>
                <w:sz w:val="20"/>
                <w:szCs w:val="20"/>
              </w:rPr>
              <w:t>jejich zpřístupnění na internetu a předání do SK ČR</w:t>
            </w:r>
            <w:r w:rsidR="00D55880" w:rsidRPr="000E2505">
              <w:rPr>
                <w:rFonts w:ascii="Arial" w:hAnsi="Arial" w:cs="Arial"/>
                <w:sz w:val="20"/>
                <w:szCs w:val="20"/>
              </w:rPr>
              <w:t>; záznamy propojovány do souboru národních autorit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0E2505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0E25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757F" w:rsidRPr="00381CF8" w:rsidTr="00E167E7">
        <w:trPr>
          <w:trHeight w:val="153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81CF8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81CF8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76B9E" w:rsidRDefault="000E2505" w:rsidP="000E250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6 165</w:t>
            </w:r>
            <w:r w:rsidR="00E167E7" w:rsidRPr="00376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  <w:r w:rsidR="00ED757F" w:rsidRPr="00376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76B9E" w:rsidRDefault="00CD02C7" w:rsidP="00574DD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5 484</w:t>
            </w:r>
            <w:r w:rsidR="00E167E7" w:rsidRPr="00376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  <w:r w:rsidR="00ED757F" w:rsidRPr="00376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E167E7" w:rsidRDefault="00E167E7" w:rsidP="00574DD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67E7" w:rsidRDefault="00E167E7" w:rsidP="00E167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CD02C7">
              <w:rPr>
                <w:rFonts w:ascii="Arial" w:hAnsi="Arial" w:cs="Arial"/>
                <w:b/>
                <w:bCs/>
                <w:sz w:val="20"/>
                <w:szCs w:val="20"/>
              </w:rPr>
              <w:t>5 471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000 Kč</w:t>
            </w:r>
          </w:p>
          <w:p w:rsidR="00E167E7" w:rsidRPr="00376B9E" w:rsidRDefault="00E167E7" w:rsidP="00E167E7">
            <w:pPr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376B9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(po odstoupení </w:t>
            </w:r>
            <w:r w:rsidR="00E7413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Knihovny AV </w:t>
            </w:r>
            <w:proofErr w:type="gramStart"/>
            <w:r w:rsidR="00E7413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ČR </w:t>
            </w:r>
            <w:r w:rsidRPr="00376B9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od</w:t>
            </w:r>
            <w:proofErr w:type="gramEnd"/>
            <w:r w:rsidRPr="00376B9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projektu)</w:t>
            </w:r>
          </w:p>
          <w:p w:rsidR="00E167E7" w:rsidRPr="00381CF8" w:rsidRDefault="00E167E7" w:rsidP="00E16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5A332E" w:rsidRDefault="005A332E" w:rsidP="005174B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32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174B6">
              <w:rPr>
                <w:rFonts w:ascii="Arial" w:hAnsi="Arial" w:cs="Arial"/>
                <w:b/>
                <w:bCs/>
                <w:sz w:val="22"/>
                <w:szCs w:val="22"/>
              </w:rPr>
              <w:t>51</w:t>
            </w:r>
            <w:r w:rsidRPr="005A33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74B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D02C7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81CF8" w:rsidRDefault="00ED757F" w:rsidP="00574D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81CF8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7F" w:rsidRPr="00381CF8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  <w:r w:rsidRPr="00381C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D757F" w:rsidRPr="00381CF8" w:rsidTr="00574DDD">
        <w:trPr>
          <w:trHeight w:val="255"/>
        </w:trPr>
        <w:tc>
          <w:tcPr>
            <w:tcW w:w="13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757F" w:rsidRPr="00381CF8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F" w:rsidRPr="00851091" w:rsidTr="00574DDD">
        <w:trPr>
          <w:trHeight w:val="255"/>
        </w:trPr>
        <w:tc>
          <w:tcPr>
            <w:tcW w:w="13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757F" w:rsidRPr="00851091" w:rsidRDefault="00CD4860" w:rsidP="00E525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E52594">
              <w:rPr>
                <w:rFonts w:ascii="Arial" w:hAnsi="Arial" w:cs="Arial"/>
                <w:i/>
                <w:iCs/>
                <w:sz w:val="20"/>
                <w:szCs w:val="20"/>
              </w:rPr>
              <w:t>9. 1. 2015</w:t>
            </w:r>
            <w:r w:rsidR="00ED757F" w:rsidRPr="00381CF8">
              <w:rPr>
                <w:rFonts w:ascii="Arial" w:hAnsi="Arial" w:cs="Arial"/>
                <w:i/>
                <w:iCs/>
                <w:sz w:val="20"/>
                <w:szCs w:val="20"/>
              </w:rPr>
              <w:t>, Dita Kacerovská</w:t>
            </w:r>
          </w:p>
        </w:tc>
      </w:tr>
      <w:tr w:rsidR="00ED757F" w:rsidRPr="00851091" w:rsidTr="00574DDD">
        <w:trPr>
          <w:trHeight w:val="255"/>
        </w:trPr>
        <w:tc>
          <w:tcPr>
            <w:tcW w:w="13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757F" w:rsidRPr="00851091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57F" w:rsidRPr="00851091" w:rsidTr="00574DDD">
        <w:trPr>
          <w:trHeight w:val="255"/>
        </w:trPr>
        <w:tc>
          <w:tcPr>
            <w:tcW w:w="13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757F" w:rsidRPr="00851091" w:rsidRDefault="00ED757F" w:rsidP="00574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68DE" w:rsidRPr="00851091" w:rsidRDefault="003668DE" w:rsidP="003668DE">
      <w:pPr>
        <w:jc w:val="both"/>
      </w:pPr>
    </w:p>
    <w:p w:rsidR="00E2711D" w:rsidRDefault="00E2711D"/>
    <w:sectPr w:rsidR="00E2711D" w:rsidSect="00574DDD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DD" w:rsidRDefault="00574DDD" w:rsidP="00F83926">
      <w:r>
        <w:separator/>
      </w:r>
    </w:p>
  </w:endnote>
  <w:endnote w:type="continuationSeparator" w:id="0">
    <w:p w:rsidR="00574DDD" w:rsidRDefault="00574DDD" w:rsidP="00F8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681605"/>
      <w:docPartObj>
        <w:docPartGallery w:val="Page Numbers (Bottom of Page)"/>
        <w:docPartUnique/>
      </w:docPartObj>
    </w:sdtPr>
    <w:sdtEndPr/>
    <w:sdtContent>
      <w:p w:rsidR="00574DDD" w:rsidRDefault="00574D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8E6">
          <w:rPr>
            <w:noProof/>
          </w:rPr>
          <w:t>8</w:t>
        </w:r>
        <w:r>
          <w:fldChar w:fldCharType="end"/>
        </w:r>
      </w:p>
    </w:sdtContent>
  </w:sdt>
  <w:p w:rsidR="00574DDD" w:rsidRDefault="00574D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DD" w:rsidRDefault="00574DDD" w:rsidP="00F83926">
      <w:r>
        <w:separator/>
      </w:r>
    </w:p>
  </w:footnote>
  <w:footnote w:type="continuationSeparator" w:id="0">
    <w:p w:rsidR="00574DDD" w:rsidRDefault="00574DDD" w:rsidP="00F8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DE"/>
    <w:rsid w:val="00006460"/>
    <w:rsid w:val="000E2505"/>
    <w:rsid w:val="00140741"/>
    <w:rsid w:val="0014254B"/>
    <w:rsid w:val="00172692"/>
    <w:rsid w:val="001A6174"/>
    <w:rsid w:val="001F17E6"/>
    <w:rsid w:val="001F4410"/>
    <w:rsid w:val="00215042"/>
    <w:rsid w:val="002972F9"/>
    <w:rsid w:val="00305561"/>
    <w:rsid w:val="00356FB5"/>
    <w:rsid w:val="003668DE"/>
    <w:rsid w:val="00370A99"/>
    <w:rsid w:val="00376B9E"/>
    <w:rsid w:val="00381CF8"/>
    <w:rsid w:val="003B5F65"/>
    <w:rsid w:val="004065B7"/>
    <w:rsid w:val="00413A16"/>
    <w:rsid w:val="00445088"/>
    <w:rsid w:val="005174B6"/>
    <w:rsid w:val="005246C8"/>
    <w:rsid w:val="00537B66"/>
    <w:rsid w:val="00574DDD"/>
    <w:rsid w:val="00576CA9"/>
    <w:rsid w:val="00585530"/>
    <w:rsid w:val="005A332E"/>
    <w:rsid w:val="005A7020"/>
    <w:rsid w:val="006735DE"/>
    <w:rsid w:val="00695942"/>
    <w:rsid w:val="00697180"/>
    <w:rsid w:val="00746C85"/>
    <w:rsid w:val="007A1180"/>
    <w:rsid w:val="00826CF6"/>
    <w:rsid w:val="00907462"/>
    <w:rsid w:val="009C6D46"/>
    <w:rsid w:val="00A52DBC"/>
    <w:rsid w:val="00A6039C"/>
    <w:rsid w:val="00A87393"/>
    <w:rsid w:val="00AC0462"/>
    <w:rsid w:val="00AD5622"/>
    <w:rsid w:val="00B34B2C"/>
    <w:rsid w:val="00B965AA"/>
    <w:rsid w:val="00BA0014"/>
    <w:rsid w:val="00BA1C72"/>
    <w:rsid w:val="00C406BE"/>
    <w:rsid w:val="00C86857"/>
    <w:rsid w:val="00CA59DB"/>
    <w:rsid w:val="00CD02C7"/>
    <w:rsid w:val="00CD4860"/>
    <w:rsid w:val="00D238E6"/>
    <w:rsid w:val="00D55880"/>
    <w:rsid w:val="00E1206D"/>
    <w:rsid w:val="00E167E7"/>
    <w:rsid w:val="00E2711D"/>
    <w:rsid w:val="00E52594"/>
    <w:rsid w:val="00E74135"/>
    <w:rsid w:val="00ED757F"/>
    <w:rsid w:val="00F11012"/>
    <w:rsid w:val="00F44344"/>
    <w:rsid w:val="00F45A3E"/>
    <w:rsid w:val="00F54920"/>
    <w:rsid w:val="00F83926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9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3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9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70A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70A9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9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9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39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9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70A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70A9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2023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Kacerovská Dita</dc:creator>
  <cp:lastModifiedBy>Kacerovská Dita</cp:lastModifiedBy>
  <cp:revision>15</cp:revision>
  <cp:lastPrinted>2014-01-28T08:43:00Z</cp:lastPrinted>
  <dcterms:created xsi:type="dcterms:W3CDTF">2015-01-28T10:16:00Z</dcterms:created>
  <dcterms:modified xsi:type="dcterms:W3CDTF">2015-01-29T10:50:00Z</dcterms:modified>
</cp:coreProperties>
</file>