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D82066">
        <w:rPr>
          <w:rFonts w:ascii="Arial" w:hAnsi="Arial"/>
          <w:i/>
          <w:sz w:val="32"/>
        </w:rPr>
        <w:t xml:space="preserve"> 2017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 xml:space="preserve">spolky podle </w:t>
      </w:r>
      <w:r w:rsidR="008A0310" w:rsidRPr="00047964">
        <w:rPr>
          <w:rFonts w:ascii="Arial" w:hAnsi="Arial"/>
          <w:sz w:val="28"/>
        </w:rPr>
        <w:t>zákona</w:t>
      </w:r>
      <w:r w:rsidR="00F90300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B372AA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</w:t>
      </w:r>
      <w:r w:rsidR="00B372AA">
        <w:rPr>
          <w:iCs/>
          <w:sz w:val="24"/>
          <w:szCs w:val="24"/>
        </w:rPr>
        <w:t xml:space="preserve"> a připravovanou navazující Koncepcí rozvoje knihoven v ČR na lét</w:t>
      </w:r>
      <w:r w:rsidR="00D82066">
        <w:rPr>
          <w:iCs/>
          <w:sz w:val="24"/>
          <w:szCs w:val="24"/>
        </w:rPr>
        <w:t>a 2016 až</w:t>
      </w:r>
      <w:r w:rsidR="00B372AA">
        <w:rPr>
          <w:iCs/>
          <w:sz w:val="24"/>
          <w:szCs w:val="24"/>
        </w:rPr>
        <w:t xml:space="preserve"> 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jedná se o vzděl</w:t>
      </w:r>
      <w:r w:rsidR="00E9160F" w:rsidRPr="00981990">
        <w:rPr>
          <w:sz w:val="24"/>
        </w:rPr>
        <w:t>ávací aktivity zaměřené především</w:t>
      </w:r>
      <w:r w:rsidRPr="00981990">
        <w:rPr>
          <w:sz w:val="24"/>
        </w:rPr>
        <w:t xml:space="preserve"> na získávání dovedností v práci s </w:t>
      </w:r>
      <w:r w:rsidR="0018747F" w:rsidRPr="00981990">
        <w:rPr>
          <w:sz w:val="24"/>
        </w:rPr>
        <w:t>ICT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výuku musí zajišťovat kvalifikovaní lektoři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výuka musí probíhat v prostorách vybavených ICT v rozsahu a kvalitě odpovídající formě a metodám konkr</w:t>
      </w:r>
      <w:r w:rsidR="00C46EA5" w:rsidRPr="00981990">
        <w:rPr>
          <w:sz w:val="24"/>
        </w:rPr>
        <w:t>étní aktivity a počtu účastníků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aktivity musí být přístupny pracovníkům knihoven všech typů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981990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finančních nákladů na něj</w:t>
      </w:r>
    </w:p>
    <w:p w:rsidR="00077C47" w:rsidRDefault="00077C47" w:rsidP="00077C47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981990">
        <w:rPr>
          <w:sz w:val="24"/>
          <w:szCs w:val="24"/>
        </w:rPr>
        <w:t>konání vzdělávací akce</w:t>
      </w:r>
      <w:r w:rsidR="0065242B" w:rsidRPr="00981990">
        <w:rPr>
          <w:sz w:val="24"/>
          <w:szCs w:val="24"/>
        </w:rPr>
        <w:t xml:space="preserve"> je nutné oznámit</w:t>
      </w:r>
      <w:r w:rsidRPr="00981990">
        <w:rPr>
          <w:sz w:val="24"/>
          <w:szCs w:val="24"/>
        </w:rPr>
        <w:t xml:space="preserve"> prostřednictvím odborné elektronické konferenc</w:t>
      </w:r>
      <w:r w:rsidR="0065242B" w:rsidRPr="00981990">
        <w:rPr>
          <w:sz w:val="24"/>
          <w:szCs w:val="24"/>
        </w:rPr>
        <w:t xml:space="preserve">e „Knihovna“ a zaregistrovat </w:t>
      </w:r>
      <w:r w:rsidRPr="00981990">
        <w:rPr>
          <w:sz w:val="24"/>
          <w:szCs w:val="24"/>
        </w:rPr>
        <w:t>do celostátního přehledu akcí knihoven</w:t>
      </w:r>
      <w:r w:rsidRPr="00B2632E">
        <w:rPr>
          <w:sz w:val="24"/>
          <w:szCs w:val="24"/>
        </w:rPr>
        <w:t xml:space="preserve"> </w:t>
      </w:r>
      <w:r w:rsidR="0065242B" w:rsidRPr="00B2632E">
        <w:rPr>
          <w:sz w:val="24"/>
          <w:szCs w:val="24"/>
        </w:rPr>
        <w:t>(</w:t>
      </w:r>
      <w:hyperlink r:id="rId10" w:history="1">
        <w:r w:rsidRPr="00634A70">
          <w:rPr>
            <w:rStyle w:val="Hypertextovodkaz"/>
            <w:sz w:val="24"/>
            <w:szCs w:val="24"/>
          </w:rPr>
          <w:t>http://www.skipcr.cz/akce-a-projekty/knihovnicke-akce/</w:t>
        </w:r>
      </w:hyperlink>
      <w:r w:rsidR="0065242B">
        <w:rPr>
          <w:sz w:val="24"/>
          <w:szCs w:val="24"/>
        </w:rPr>
        <w:t>)</w:t>
      </w:r>
    </w:p>
    <w:p w:rsidR="002922D1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 w:rsidR="00385AC8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>:</w:t>
      </w:r>
    </w:p>
    <w:p w:rsidR="002922D1" w:rsidRPr="002922D1" w:rsidRDefault="00B66EEA" w:rsidP="00077F4D">
      <w:pPr>
        <w:rPr>
          <w:sz w:val="24"/>
          <w:szCs w:val="24"/>
        </w:rPr>
      </w:pPr>
      <w:r>
        <w:rPr>
          <w:sz w:val="24"/>
          <w:szCs w:val="24"/>
        </w:rPr>
        <w:t>a) základní kurz</w:t>
      </w:r>
      <w:r w:rsidR="002922D1" w:rsidRPr="002922D1">
        <w:rPr>
          <w:sz w:val="24"/>
          <w:szCs w:val="24"/>
        </w:rPr>
        <w:t xml:space="preserve">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</w:t>
      </w:r>
      <w:r w:rsidRPr="00B66EEA">
        <w:rPr>
          <w:sz w:val="24"/>
          <w:szCs w:val="24"/>
        </w:rPr>
        <w:t xml:space="preserve">) </w:t>
      </w:r>
      <w:r w:rsidR="00B92AE3" w:rsidRPr="00B66EEA">
        <w:rPr>
          <w:sz w:val="24"/>
          <w:szCs w:val="24"/>
        </w:rPr>
        <w:t xml:space="preserve">nástavbové </w:t>
      </w:r>
      <w:r w:rsidRPr="00B66EEA">
        <w:rPr>
          <w:sz w:val="24"/>
          <w:szCs w:val="24"/>
        </w:rPr>
        <w:t>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</w:t>
      </w:r>
      <w:r w:rsidR="003839A0">
        <w:rPr>
          <w:sz w:val="24"/>
          <w:szCs w:val="24"/>
        </w:rPr>
        <w:t> </w:t>
      </w:r>
      <w:r w:rsidRPr="002922D1">
        <w:rPr>
          <w:sz w:val="24"/>
          <w:szCs w:val="24"/>
        </w:rPr>
        <w:t>knihovnách</w:t>
      </w:r>
    </w:p>
    <w:p w:rsidR="003839A0" w:rsidRPr="003839A0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e) práce s novými médii (např. práce s chytrými telefony, tablety apod.)</w:t>
      </w:r>
    </w:p>
    <w:p w:rsidR="003839A0" w:rsidRPr="002922D1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f) tvorba výukových multimediálních materiálů (např. e-</w:t>
      </w:r>
      <w:proofErr w:type="spellStart"/>
      <w:r w:rsidRPr="003839A0">
        <w:rPr>
          <w:sz w:val="24"/>
          <w:szCs w:val="24"/>
        </w:rPr>
        <w:t>learning</w:t>
      </w:r>
      <w:proofErr w:type="spellEnd"/>
      <w:r w:rsidRPr="003839A0">
        <w:rPr>
          <w:sz w:val="24"/>
          <w:szCs w:val="24"/>
        </w:rPr>
        <w:t xml:space="preserve">, </w:t>
      </w:r>
      <w:proofErr w:type="spellStart"/>
      <w:r w:rsidRPr="003839A0">
        <w:rPr>
          <w:sz w:val="24"/>
          <w:szCs w:val="24"/>
        </w:rPr>
        <w:t>webináře</w:t>
      </w:r>
      <w:proofErr w:type="spellEnd"/>
      <w:r w:rsidRPr="003839A0">
        <w:rPr>
          <w:sz w:val="24"/>
          <w:szCs w:val="24"/>
        </w:rPr>
        <w:t>)</w:t>
      </w:r>
    </w:p>
    <w:p w:rsidR="008E0720" w:rsidRDefault="008E0720" w:rsidP="002922D1">
      <w:pPr>
        <w:rPr>
          <w:sz w:val="24"/>
          <w:szCs w:val="24"/>
        </w:rPr>
      </w:pPr>
    </w:p>
    <w:p w:rsidR="003D5B22" w:rsidRPr="002922D1" w:rsidRDefault="003D5B22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C46EA5" w:rsidRDefault="00D82066" w:rsidP="00C46EA5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Na rok 2017</w:t>
      </w:r>
      <w:r w:rsidR="00C46EA5">
        <w:rPr>
          <w:u w:val="single"/>
        </w:rPr>
        <w:t xml:space="preserve"> je vyhlašována pouze část I.</w:t>
      </w:r>
    </w:p>
    <w:p w:rsidR="00077C47" w:rsidRDefault="00077C47">
      <w:pPr>
        <w:rPr>
          <w:sz w:val="24"/>
          <w:szCs w:val="24"/>
        </w:rPr>
      </w:pPr>
    </w:p>
    <w:p w:rsidR="00FA6744" w:rsidRDefault="00FA6744">
      <w:pPr>
        <w:rPr>
          <w:sz w:val="24"/>
          <w:szCs w:val="24"/>
        </w:rPr>
      </w:pPr>
    </w:p>
    <w:p w:rsidR="003D5B22" w:rsidRDefault="003D5B22">
      <w:pPr>
        <w:rPr>
          <w:sz w:val="24"/>
          <w:szCs w:val="24"/>
        </w:rPr>
      </w:pPr>
    </w:p>
    <w:p w:rsidR="003D5B22" w:rsidRPr="00A743D0" w:rsidRDefault="003D5B22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lastRenderedPageBreak/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741AB" w:rsidRDefault="005E176E" w:rsidP="003741AB">
      <w:pPr>
        <w:jc w:val="both"/>
        <w:rPr>
          <w:sz w:val="24"/>
        </w:rPr>
      </w:pPr>
      <w:r w:rsidRPr="00981990">
        <w:rPr>
          <w:b/>
          <w:sz w:val="24"/>
        </w:rPr>
        <w:t>2</w:t>
      </w:r>
      <w:r w:rsidR="003741AB" w:rsidRPr="00981990">
        <w:rPr>
          <w:b/>
          <w:sz w:val="24"/>
        </w:rPr>
        <w:t xml:space="preserve">) </w:t>
      </w:r>
      <w:r w:rsidR="003741AB" w:rsidRPr="00981990">
        <w:rPr>
          <w:b/>
          <w:sz w:val="24"/>
          <w:u w:val="single"/>
        </w:rPr>
        <w:t>Popis projektu</w:t>
      </w:r>
      <w:r w:rsidR="003741AB" w:rsidRPr="00981990">
        <w:rPr>
          <w:sz w:val="24"/>
          <w:u w:val="single"/>
        </w:rPr>
        <w:t xml:space="preserve"> obsahující především jeho cíl, metody, formy, rozsah a strukturu vzdělávací aktivity</w:t>
      </w:r>
      <w:r w:rsidR="009B0584" w:rsidRPr="00981990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981990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981990">
        <w:rPr>
          <w:sz w:val="24"/>
        </w:rPr>
        <w:t xml:space="preserve">; vše </w:t>
      </w:r>
      <w:r w:rsidR="00E22083" w:rsidRPr="00981990">
        <w:rPr>
          <w:sz w:val="24"/>
        </w:rPr>
        <w:t>v rozsahu maximálně 2 stran</w:t>
      </w:r>
      <w:r w:rsidR="003741AB" w:rsidRPr="00981990">
        <w:rPr>
          <w:sz w:val="24"/>
        </w:rPr>
        <w:t xml:space="preserve"> A4.</w:t>
      </w:r>
    </w:p>
    <w:p w:rsidR="009B0584" w:rsidRDefault="009B0584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Pokud jsou ve spoluúčasti zahrnuty mzdové náklady, musí být podrobně rozepsány (podle počtu hodin), stejně tak režijní náklady (podle typu nákladů - 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CD7486" w:rsidRDefault="00ED6CFE" w:rsidP="0065242B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  <w:r w:rsidR="00A31F67">
        <w:rPr>
          <w:sz w:val="24"/>
          <w:szCs w:val="24"/>
        </w:rPr>
        <w:t xml:space="preserve"> </w:t>
      </w:r>
      <w:r w:rsidR="000F475F" w:rsidRPr="00E3733A">
        <w:rPr>
          <w:sz w:val="24"/>
          <w:szCs w:val="24"/>
        </w:rPr>
        <w:t>D</w:t>
      </w:r>
      <w:r w:rsidR="00AE0050" w:rsidRPr="00E3733A">
        <w:rPr>
          <w:sz w:val="24"/>
          <w:szCs w:val="24"/>
        </w:rPr>
        <w:t xml:space="preserve">o projektu </w:t>
      </w:r>
      <w:r w:rsidR="000F475F" w:rsidRPr="00E3733A">
        <w:rPr>
          <w:sz w:val="24"/>
          <w:szCs w:val="24"/>
        </w:rPr>
        <w:t xml:space="preserve">nelze zahrnovat náklady na </w:t>
      </w:r>
      <w:r w:rsidR="000F475F" w:rsidRPr="00325696">
        <w:rPr>
          <w:sz w:val="24"/>
          <w:szCs w:val="24"/>
        </w:rPr>
        <w:t>akreditaci</w:t>
      </w:r>
      <w:r w:rsidR="00AE0050" w:rsidRPr="00325696">
        <w:rPr>
          <w:sz w:val="24"/>
          <w:szCs w:val="24"/>
        </w:rPr>
        <w:t xml:space="preserve"> </w:t>
      </w:r>
      <w:r w:rsidR="00325696" w:rsidRPr="00325696">
        <w:rPr>
          <w:sz w:val="24"/>
          <w:szCs w:val="24"/>
        </w:rPr>
        <w:t xml:space="preserve">kurzu nebo </w:t>
      </w:r>
      <w:r w:rsidR="00AE0050" w:rsidRPr="00325696">
        <w:rPr>
          <w:sz w:val="24"/>
          <w:szCs w:val="24"/>
        </w:rPr>
        <w:t>učebny</w:t>
      </w:r>
      <w:r w:rsidR="00C907B4" w:rsidRPr="00325696">
        <w:rPr>
          <w:sz w:val="24"/>
          <w:szCs w:val="24"/>
        </w:rPr>
        <w:t xml:space="preserve"> (</w:t>
      </w:r>
      <w:r w:rsidR="00E3733A" w:rsidRPr="00325696">
        <w:rPr>
          <w:sz w:val="24"/>
          <w:szCs w:val="24"/>
        </w:rPr>
        <w:t>ani</w:t>
      </w:r>
      <w:r w:rsidR="00E3733A">
        <w:rPr>
          <w:sz w:val="24"/>
          <w:szCs w:val="24"/>
        </w:rPr>
        <w:t xml:space="preserve"> v rámci požadované dotace, </w:t>
      </w:r>
      <w:r w:rsidR="00AE0050" w:rsidRPr="00E3733A">
        <w:rPr>
          <w:sz w:val="24"/>
          <w:szCs w:val="24"/>
        </w:rPr>
        <w:t>ani z vlastních prostředků</w:t>
      </w:r>
      <w:r w:rsidR="00577021" w:rsidRPr="00E3733A">
        <w:rPr>
          <w:sz w:val="24"/>
          <w:szCs w:val="24"/>
        </w:rPr>
        <w:t>).</w:t>
      </w:r>
    </w:p>
    <w:p w:rsidR="0065242B" w:rsidRPr="00B2632E" w:rsidRDefault="0065242B" w:rsidP="0065242B">
      <w:pPr>
        <w:jc w:val="both"/>
        <w:rPr>
          <w:sz w:val="24"/>
          <w:szCs w:val="24"/>
        </w:rPr>
      </w:pPr>
      <w:r w:rsidRPr="00981990">
        <w:rPr>
          <w:sz w:val="24"/>
          <w:szCs w:val="24"/>
        </w:rPr>
        <w:t>Dotace na úhradu lektorů (formou odměn z dohod o provedení práce, dohod o pracovní činnosti nebo formou plateb za služby) základních a nástavbovýc</w:t>
      </w:r>
      <w:r w:rsidR="00F135B6" w:rsidRPr="00981990">
        <w:rPr>
          <w:sz w:val="24"/>
          <w:szCs w:val="24"/>
        </w:rPr>
        <w:t xml:space="preserve">h kurzů je poskytována ve </w:t>
      </w:r>
      <w:r w:rsidR="00F135B6" w:rsidRPr="00981990">
        <w:rPr>
          <w:sz w:val="24"/>
          <w:szCs w:val="24"/>
        </w:rPr>
        <w:lastRenderedPageBreak/>
        <w:t>výši 5</w:t>
      </w:r>
      <w:r w:rsidRPr="00981990">
        <w:rPr>
          <w:sz w:val="24"/>
          <w:szCs w:val="24"/>
        </w:rPr>
        <w:t>00 Kč (včetně zákonných odvodů na zdravotní a sociální pojištění)/1 hod. Toto omezení neplatí pro expertní a specializované kurzy.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D8206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D82066">
        <w:rPr>
          <w:sz w:val="24"/>
        </w:rPr>
        <w:t xml:space="preserve">musí </w:t>
      </w:r>
      <w:r w:rsidR="00605631" w:rsidRPr="00D82066">
        <w:rPr>
          <w:sz w:val="24"/>
        </w:rPr>
        <w:t>postupovat podle</w:t>
      </w:r>
      <w:r w:rsidRPr="00D82066">
        <w:rPr>
          <w:sz w:val="24"/>
        </w:rPr>
        <w:t xml:space="preserve"> </w:t>
      </w:r>
      <w:r w:rsidR="00D82066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</w:t>
      </w:r>
      <w:r w:rsidR="00E36AB5">
        <w:rPr>
          <w:sz w:val="24"/>
        </w:rPr>
        <w:t>investiční náklady a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EE0B93" w:rsidRDefault="003D5B22" w:rsidP="00EE0B93">
      <w:pPr>
        <w:jc w:val="both"/>
        <w:rPr>
          <w:sz w:val="24"/>
        </w:rPr>
      </w:pPr>
      <w:hyperlink r:id="rId12" w:history="1">
        <w:r w:rsidR="00EE0B93">
          <w:rPr>
            <w:rStyle w:val="Hypertextovodkaz"/>
            <w:sz w:val="24"/>
          </w:rPr>
          <w:t>https://www.mkcr.cz/souvisejici-pravni-predpisy-370.html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FF3AE8" w:rsidRPr="00EB4132">
        <w:rPr>
          <w:sz w:val="24"/>
          <w:szCs w:val="24"/>
        </w:rPr>
        <w:t>2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Pr="00D40E11">
        <w:rPr>
          <w:sz w:val="24"/>
          <w:szCs w:val="24"/>
        </w:rPr>
        <w:t>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  <w:bookmarkStart w:id="0" w:name="_GoBack"/>
      <w:bookmarkEnd w:id="0"/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</w:t>
      </w:r>
      <w:r w:rsidR="00ED6CFE">
        <w:rPr>
          <w:sz w:val="24"/>
          <w:u w:val="single"/>
        </w:rPr>
        <w:lastRenderedPageBreak/>
        <w:t xml:space="preserve">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D82066">
        <w:rPr>
          <w:sz w:val="24"/>
          <w:u w:val="single"/>
        </w:rPr>
        <w:t xml:space="preserve"> v pátek 9. 12. 2016</w:t>
      </w:r>
      <w:r w:rsidR="00ED6CFE" w:rsidRPr="00706ABB">
        <w:rPr>
          <w:sz w:val="24"/>
          <w:u w:val="single"/>
        </w:rPr>
        <w:t xml:space="preserve">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E36AB5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D82066">
        <w:rPr>
          <w:b/>
          <w:sz w:val="40"/>
        </w:rPr>
        <w:t xml:space="preserve"> 2016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3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D82066">
        <w:rPr>
          <w:b/>
          <w:bCs/>
          <w:sz w:val="24"/>
          <w:szCs w:val="24"/>
          <w:lang w:eastAsia="cs-CZ"/>
        </w:rPr>
        <w:t>7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D82066">
        <w:t>inisterstvem kultury v roce 2016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E66E1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D82066">
        <w:rPr>
          <w:sz w:val="24"/>
        </w:rPr>
        <w:t xml:space="preserve"> 2017</w:t>
      </w:r>
      <w:r w:rsidRPr="00B04BB0">
        <w:rPr>
          <w:sz w:val="24"/>
        </w:rPr>
        <w:t xml:space="preserve"> budou 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4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  <w:r w:rsidR="008B265A" w:rsidRPr="00690D6E">
        <w:rPr>
          <w:sz w:val="24"/>
        </w:rPr>
        <w:t xml:space="preserve">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5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6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7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3D5B22">
      <w:pPr>
        <w:jc w:val="both"/>
        <w:rPr>
          <w:sz w:val="24"/>
          <w:szCs w:val="24"/>
        </w:rPr>
        <w:sectPr w:rsidR="00F0338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4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D82066" w:rsidP="00FB47A3">
      <w:pPr>
        <w:jc w:val="center"/>
        <w:rPr>
          <w:b/>
          <w:sz w:val="28"/>
        </w:rPr>
      </w:pPr>
      <w:r>
        <w:rPr>
          <w:b/>
          <w:sz w:val="28"/>
        </w:rPr>
        <w:t>pro rok 2017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 xml:space="preserve">a MV ČR (pouze </w:t>
      </w:r>
      <w:proofErr w:type="gramStart"/>
      <w:r w:rsidR="00840D8B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2B6A7C" w:rsidRDefault="002B6A7C" w:rsidP="00D21AB1">
      <w:pPr>
        <w:jc w:val="center"/>
        <w:rPr>
          <w:b/>
          <w:sz w:val="28"/>
        </w:rPr>
      </w:pPr>
      <w:bookmarkStart w:id="1" w:name="_Ref384196847"/>
    </w:p>
    <w:p w:rsidR="00D21AB1" w:rsidRDefault="002B6A7C" w:rsidP="00D21AB1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525"/>
        <w:gridCol w:w="1276"/>
        <w:gridCol w:w="13"/>
        <w:gridCol w:w="114"/>
        <w:gridCol w:w="906"/>
        <w:gridCol w:w="951"/>
        <w:gridCol w:w="992"/>
        <w:gridCol w:w="1134"/>
        <w:gridCol w:w="139"/>
        <w:gridCol w:w="1104"/>
        <w:gridCol w:w="1167"/>
      </w:tblGrid>
      <w:tr w:rsidR="00D21AB1" w:rsidTr="00573F51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573F51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F71195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573F51">
        <w:trPr>
          <w:trHeight w:val="423"/>
        </w:trPr>
        <w:tc>
          <w:tcPr>
            <w:tcW w:w="4749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D82066">
              <w:rPr>
                <w:sz w:val="24"/>
              </w:rPr>
              <w:t xml:space="preserve"> pořádaných v roce 2016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573F51">
        <w:trPr>
          <w:cantSplit/>
          <w:trHeight w:val="42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D82066">
              <w:rPr>
                <w:sz w:val="24"/>
              </w:rPr>
              <w:t xml:space="preserve"> v roce 2016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573F51">
        <w:trPr>
          <w:cantSplit/>
          <w:trHeight w:val="129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573F51">
        <w:trPr>
          <w:cantSplit/>
          <w:trHeight w:val="413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D21AB1" w:rsidTr="00573F51">
        <w:trPr>
          <w:cantSplit/>
          <w:trHeight w:val="41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Vytáčené spojení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D82066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2016</w:t>
      </w:r>
    </w:p>
    <w:p w:rsidR="00FA6744" w:rsidRPr="00FA6744" w:rsidRDefault="00FA6744" w:rsidP="00FA6744">
      <w:pPr>
        <w:pStyle w:val="BodyText21"/>
        <w:spacing w:line="360" w:lineRule="auto"/>
      </w:pPr>
      <w:proofErr w:type="gramStart"/>
      <w:r w:rsidRPr="00FA6744">
        <w:t>Žádáno/získáno:....................................................................................................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DA" w:rsidRDefault="00E12DDA">
      <w:r>
        <w:separator/>
      </w:r>
    </w:p>
  </w:endnote>
  <w:endnote w:type="continuationSeparator" w:id="0">
    <w:p w:rsidR="00E12DDA" w:rsidRDefault="00E1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D5B2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D5B2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DA" w:rsidRDefault="00E12DDA">
      <w:r>
        <w:separator/>
      </w:r>
    </w:p>
  </w:footnote>
  <w:footnote w:type="continuationSeparator" w:id="0">
    <w:p w:rsidR="00E12DDA" w:rsidRDefault="00E12DDA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Pr="003879FC">
        <w:t xml:space="preserve"> </w:t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</w:t>
      </w:r>
      <w:r w:rsidR="003D5B22" w:rsidRPr="003D5B22">
        <w:rPr>
          <w:rFonts w:cs="Courier New"/>
          <w:lang w:eastAsia="cs-CZ"/>
        </w:rPr>
        <w:t>, které mají</w:t>
      </w:r>
      <w:r w:rsidR="003D5B22" w:rsidRPr="003D5B22">
        <w:rPr>
          <w:rFonts w:cs="Courier New"/>
          <w:lang w:eastAsia="cs-CZ"/>
        </w:rPr>
        <w:t xml:space="preserve"> odpovídající základní znalosti</w:t>
      </w:r>
      <w:r w:rsidR="003D5B22" w:rsidRPr="003D5B22">
        <w:rPr>
          <w:rFonts w:cs="Courier New"/>
          <w:lang w:eastAsia="cs-CZ"/>
        </w:rPr>
        <w:t>.</w:t>
      </w:r>
    </w:p>
    <w:p w:rsidR="003D5B22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Expertní kurz</w:t>
      </w:r>
      <w:r w:rsidRPr="003D5B2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3D5B22">
        <w:rPr>
          <w:rFonts w:cs="Courier New"/>
          <w:lang w:eastAsia="cs-CZ"/>
        </w:rPr>
        <w:t>Corell</w:t>
      </w:r>
      <w:proofErr w:type="spellEnd"/>
      <w:r w:rsidRPr="003D5B22">
        <w:rPr>
          <w:rFonts w:cs="Courier New"/>
          <w:lang w:eastAsia="cs-CZ"/>
        </w:rPr>
        <w:t>)</w:t>
      </w:r>
      <w:r w:rsidRPr="003D5B22">
        <w:rPr>
          <w:rFonts w:cs="Courier New"/>
          <w:lang w:eastAsia="cs-CZ"/>
        </w:rPr>
        <w:t>.</w:t>
      </w:r>
    </w:p>
    <w:p w:rsidR="003D5B22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Specializační kurz</w:t>
      </w:r>
      <w:r w:rsidRPr="003D5B22">
        <w:rPr>
          <w:rFonts w:cs="Courier New"/>
          <w:lang w:eastAsia="cs-CZ"/>
        </w:rPr>
        <w:t xml:space="preserve"> </w:t>
      </w:r>
      <w:r w:rsidRPr="003D5B22">
        <w:rPr>
          <w:rFonts w:cs="Courier New"/>
          <w:lang w:eastAsia="cs-CZ"/>
        </w:rPr>
        <w:t>prohlubuje získané znalosti a dovednosti se zaměřením na výkon určité činnosti nebo práce a je určen zájemcům, kteří mají odpovíd</w:t>
      </w:r>
      <w:r w:rsidRPr="003D5B22">
        <w:rPr>
          <w:rFonts w:cs="Courier New"/>
          <w:lang w:eastAsia="cs-CZ"/>
        </w:rPr>
        <w:t xml:space="preserve">ající pokročilé znalosti a </w:t>
      </w:r>
      <w:r w:rsidRPr="003D5B22">
        <w:rPr>
          <w:rFonts w:cs="Courier New"/>
          <w:lang w:eastAsia="cs-CZ"/>
        </w:rPr>
        <w:t>zájem o rozšíření kompetencí ve specializované oblasti (např. "EIZ pro knihovníky lékařských knihoven", "Digitalizace fondu knihovny“)</w:t>
      </w:r>
      <w:r w:rsidRPr="003D5B22">
        <w:rPr>
          <w:rFonts w:cs="Courier New"/>
          <w:lang w:eastAsia="cs-CZ"/>
        </w:rPr>
        <w:t>.</w:t>
      </w:r>
    </w:p>
    <w:p w:rsidR="00385AC8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Inovační kurz</w:t>
      </w:r>
      <w:r w:rsidRPr="003D5B22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D5B2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D5B2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446A08">
      <w:rPr>
        <w:b/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446A08">
      <w:rPr>
        <w:b/>
        <w:sz w:val="24"/>
        <w:szCs w:val="24"/>
      </w:rPr>
      <w:t>kolní vzdělávání knihovníků 2017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0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40578"/>
    <w:rsid w:val="0004796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C733E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121F6"/>
    <w:rsid w:val="003126E8"/>
    <w:rsid w:val="00313260"/>
    <w:rsid w:val="00325696"/>
    <w:rsid w:val="00331FC0"/>
    <w:rsid w:val="00334F97"/>
    <w:rsid w:val="0033538E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D5B22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6A08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3F5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6633"/>
    <w:rsid w:val="00736969"/>
    <w:rsid w:val="007465F0"/>
    <w:rsid w:val="00754816"/>
    <w:rsid w:val="007645C6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06C52"/>
    <w:rsid w:val="00814B91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720"/>
    <w:rsid w:val="008E0C70"/>
    <w:rsid w:val="008F4A8F"/>
    <w:rsid w:val="008F6F07"/>
    <w:rsid w:val="00911108"/>
    <w:rsid w:val="00925C2F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1990"/>
    <w:rsid w:val="00982241"/>
    <w:rsid w:val="00993BAC"/>
    <w:rsid w:val="009967E1"/>
    <w:rsid w:val="009B0584"/>
    <w:rsid w:val="009B7908"/>
    <w:rsid w:val="009C62F9"/>
    <w:rsid w:val="009D409A"/>
    <w:rsid w:val="009D4E1B"/>
    <w:rsid w:val="009E668B"/>
    <w:rsid w:val="009E729B"/>
    <w:rsid w:val="00A166B7"/>
    <w:rsid w:val="00A2594A"/>
    <w:rsid w:val="00A31F67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4BB0"/>
    <w:rsid w:val="00B2632E"/>
    <w:rsid w:val="00B372AA"/>
    <w:rsid w:val="00B6133E"/>
    <w:rsid w:val="00B66EEA"/>
    <w:rsid w:val="00B70FF0"/>
    <w:rsid w:val="00B76AD3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870"/>
    <w:rsid w:val="00BE1F11"/>
    <w:rsid w:val="00BE20D4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FBC"/>
    <w:rsid w:val="00C907B4"/>
    <w:rsid w:val="00C9173B"/>
    <w:rsid w:val="00C918F9"/>
    <w:rsid w:val="00C95F90"/>
    <w:rsid w:val="00CA3513"/>
    <w:rsid w:val="00CB4FCA"/>
    <w:rsid w:val="00CB7018"/>
    <w:rsid w:val="00CC13A2"/>
    <w:rsid w:val="00CC144D"/>
    <w:rsid w:val="00CC2142"/>
    <w:rsid w:val="00CC2D62"/>
    <w:rsid w:val="00CC3809"/>
    <w:rsid w:val="00CC541D"/>
    <w:rsid w:val="00CC7314"/>
    <w:rsid w:val="00CD2BE4"/>
    <w:rsid w:val="00CD307D"/>
    <w:rsid w:val="00CD331F"/>
    <w:rsid w:val="00CD7486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2066"/>
    <w:rsid w:val="00D83387"/>
    <w:rsid w:val="00D86465"/>
    <w:rsid w:val="00DA0764"/>
    <w:rsid w:val="00DA438F"/>
    <w:rsid w:val="00DA4EF7"/>
    <w:rsid w:val="00DB1659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60F"/>
    <w:rsid w:val="00E91870"/>
    <w:rsid w:val="00EB021F"/>
    <w:rsid w:val="00EB1436"/>
    <w:rsid w:val="00EB4132"/>
    <w:rsid w:val="00EB6622"/>
    <w:rsid w:val="00EC643C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248C"/>
    <w:rsid w:val="00F0338E"/>
    <w:rsid w:val="00F069FA"/>
    <w:rsid w:val="00F07C3D"/>
    <w:rsid w:val="00F07DDE"/>
    <w:rsid w:val="00F135B6"/>
    <w:rsid w:val="00F1385B"/>
    <w:rsid w:val="00F223F0"/>
    <w:rsid w:val="00F2501E"/>
    <w:rsid w:val="00F25A4C"/>
    <w:rsid w:val="00F27BF1"/>
    <w:rsid w:val="00F37DA3"/>
    <w:rsid w:val="00F52ADA"/>
    <w:rsid w:val="00F6044D"/>
    <w:rsid w:val="00F6121F"/>
    <w:rsid w:val="00F625E4"/>
    <w:rsid w:val="00F707BE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42E3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a.miturova@mkcr.cz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mkcr.cz/souvisejici-pravni-predpisy-370.html" TargetMode="External"/><Relationship Id="rId17" Type="http://schemas.openxmlformats.org/officeDocument/2006/relationships/hyperlink" Target="mailto:roman.giebisch@nkp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24" Type="http://schemas.openxmlformats.org/officeDocument/2006/relationships/hyperlink" Target="http://visk.nkp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sk.nkp.cz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skipcr.cz/akce-a-projekty/knihovnicke-akce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kcr.cz/oblast-knihoven-532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A7E3-489E-4E74-BAC4-3D473991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3319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22860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39</cp:revision>
  <cp:lastPrinted>2012-09-24T08:34:00Z</cp:lastPrinted>
  <dcterms:created xsi:type="dcterms:W3CDTF">2015-08-11T09:55:00Z</dcterms:created>
  <dcterms:modified xsi:type="dcterms:W3CDTF">2016-09-27T09:04:00Z</dcterms:modified>
</cp:coreProperties>
</file>