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026" w:rsidRDefault="00644217">
      <w:pPr>
        <w:pStyle w:val="Nzev"/>
      </w:pPr>
      <w:r>
        <w:t>ZÁPIS z jednání komise</w:t>
      </w:r>
    </w:p>
    <w:p w:rsidR="00722026" w:rsidRDefault="00644217">
      <w:pPr>
        <w:ind w:firstLine="851"/>
        <w:jc w:val="center"/>
        <w:rPr>
          <w:sz w:val="32"/>
        </w:rPr>
      </w:pPr>
      <w:r>
        <w:rPr>
          <w:sz w:val="32"/>
        </w:rPr>
        <w:t>Programu Veřejné informační služby knihoven (VISK) 5</w:t>
      </w:r>
    </w:p>
    <w:p w:rsidR="00722026" w:rsidRDefault="00644217">
      <w:pPr>
        <w:jc w:val="center"/>
        <w:rPr>
          <w:sz w:val="32"/>
        </w:rPr>
      </w:pPr>
      <w:r>
        <w:rPr>
          <w:sz w:val="32"/>
        </w:rPr>
        <w:t xml:space="preserve">dne </w:t>
      </w:r>
      <w:r w:rsidR="00504A25">
        <w:rPr>
          <w:sz w:val="32"/>
        </w:rPr>
        <w:t>7</w:t>
      </w:r>
      <w:r w:rsidR="00236242">
        <w:rPr>
          <w:sz w:val="32"/>
        </w:rPr>
        <w:t xml:space="preserve">. </w:t>
      </w:r>
      <w:r w:rsidR="00504A25">
        <w:rPr>
          <w:sz w:val="32"/>
        </w:rPr>
        <w:t>2</w:t>
      </w:r>
      <w:r w:rsidR="00236242">
        <w:rPr>
          <w:sz w:val="32"/>
        </w:rPr>
        <w:t>. 202</w:t>
      </w:r>
      <w:r w:rsidR="007D7CC7">
        <w:rPr>
          <w:sz w:val="32"/>
        </w:rPr>
        <w:t>4</w:t>
      </w:r>
    </w:p>
    <w:p w:rsidR="00722026" w:rsidRDefault="00722026">
      <w:pPr>
        <w:jc w:val="center"/>
        <w:rPr>
          <w:b/>
          <w:sz w:val="28"/>
        </w:rPr>
      </w:pPr>
    </w:p>
    <w:p w:rsidR="00722026" w:rsidRDefault="00644217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504A25">
        <w:rPr>
          <w:sz w:val="24"/>
        </w:rPr>
        <w:t xml:space="preserve">Mgr. Eva Formánková (ÚČL AV ČR, </w:t>
      </w:r>
      <w:proofErr w:type="spellStart"/>
      <w:r w:rsidR="00504A25">
        <w:rPr>
          <w:sz w:val="24"/>
        </w:rPr>
        <w:t>v.v.i</w:t>
      </w:r>
      <w:proofErr w:type="spellEnd"/>
      <w:r w:rsidR="00504A25">
        <w:rPr>
          <w:sz w:val="24"/>
        </w:rPr>
        <w:t xml:space="preserve">.), </w:t>
      </w:r>
      <w:r w:rsidR="00755743">
        <w:rPr>
          <w:sz w:val="24"/>
        </w:rPr>
        <w:t>Bc. Jana Fridrichová (VMG Česká Lípa)</w:t>
      </w:r>
      <w:r w:rsidR="00561958">
        <w:rPr>
          <w:sz w:val="24"/>
        </w:rPr>
        <w:t xml:space="preserve">, </w:t>
      </w:r>
      <w:r w:rsidR="007D7CC7">
        <w:rPr>
          <w:sz w:val="24"/>
        </w:rPr>
        <w:t xml:space="preserve">Mgr. Hana Hornychová (SVK Hradec Králové), </w:t>
      </w:r>
      <w:r>
        <w:rPr>
          <w:sz w:val="24"/>
        </w:rPr>
        <w:t xml:space="preserve">Mgr. Nataša Mikšovská (NK ČR), </w:t>
      </w:r>
      <w:r w:rsidR="00755743">
        <w:rPr>
          <w:sz w:val="24"/>
        </w:rPr>
        <w:t xml:space="preserve">Dita </w:t>
      </w:r>
      <w:proofErr w:type="spellStart"/>
      <w:r w:rsidR="00755743">
        <w:rPr>
          <w:sz w:val="24"/>
        </w:rPr>
        <w:t>Misterková</w:t>
      </w:r>
      <w:proofErr w:type="spellEnd"/>
      <w:r w:rsidR="00755743">
        <w:rPr>
          <w:sz w:val="24"/>
        </w:rPr>
        <w:t xml:space="preserve">, </w:t>
      </w:r>
      <w:proofErr w:type="spellStart"/>
      <w:r w:rsidR="00755743">
        <w:rPr>
          <w:sz w:val="24"/>
        </w:rPr>
        <w:t>DiS</w:t>
      </w:r>
      <w:proofErr w:type="spellEnd"/>
      <w:r w:rsidR="00755743">
        <w:rPr>
          <w:sz w:val="24"/>
        </w:rPr>
        <w:t xml:space="preserve">. (NK ČR), </w:t>
      </w:r>
      <w:r>
        <w:rPr>
          <w:sz w:val="24"/>
        </w:rPr>
        <w:t>Mgr. Petra Miturová (MK),</w:t>
      </w:r>
      <w:r w:rsidR="00561958">
        <w:rPr>
          <w:sz w:val="24"/>
        </w:rPr>
        <w:t xml:space="preserve"> </w:t>
      </w:r>
      <w:r w:rsidR="007D7CC7">
        <w:rPr>
          <w:sz w:val="24"/>
        </w:rPr>
        <w:t>PhDr. Jaroslava Svobodová (NK ČR)</w:t>
      </w:r>
      <w:r w:rsidR="00504A25">
        <w:rPr>
          <w:sz w:val="24"/>
        </w:rPr>
        <w:t xml:space="preserve">, Helena Trinkewitzová (Knihovna AV ČR, </w:t>
      </w:r>
      <w:proofErr w:type="spellStart"/>
      <w:r w:rsidR="00504A25">
        <w:rPr>
          <w:sz w:val="24"/>
        </w:rPr>
        <w:t>v.v.i</w:t>
      </w:r>
      <w:proofErr w:type="spellEnd"/>
      <w:r w:rsidR="00504A25">
        <w:rPr>
          <w:sz w:val="24"/>
        </w:rPr>
        <w:t>.), Mgr. Dominika Vodáková (MZK Brno)</w:t>
      </w:r>
      <w:r w:rsidR="00C06468">
        <w:rPr>
          <w:sz w:val="24"/>
        </w:rPr>
        <w:t>.</w:t>
      </w:r>
    </w:p>
    <w:p w:rsidR="00722026" w:rsidRDefault="00722026">
      <w:pPr>
        <w:pBdr>
          <w:bottom w:val="single" w:sz="12" w:space="1" w:color="000000"/>
        </w:pBdr>
        <w:jc w:val="both"/>
        <w:rPr>
          <w:sz w:val="24"/>
        </w:rPr>
      </w:pP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jc w:val="both"/>
        <w:rPr>
          <w:b/>
          <w:sz w:val="24"/>
        </w:rPr>
      </w:pPr>
      <w:r>
        <w:rPr>
          <w:b/>
          <w:sz w:val="24"/>
        </w:rPr>
        <w:t>1. Zahájení a volba předsednictva:</w:t>
      </w:r>
    </w:p>
    <w:p w:rsidR="009C47A7" w:rsidRDefault="00755743" w:rsidP="009C47A7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C47A7">
        <w:rPr>
          <w:sz w:val="24"/>
          <w:szCs w:val="24"/>
        </w:rPr>
        <w:t>ednání</w:t>
      </w:r>
      <w:r>
        <w:rPr>
          <w:sz w:val="24"/>
          <w:szCs w:val="24"/>
        </w:rPr>
        <w:t>, které</w:t>
      </w:r>
      <w:r w:rsidR="009C47A7">
        <w:rPr>
          <w:sz w:val="24"/>
          <w:szCs w:val="24"/>
        </w:rPr>
        <w:t xml:space="preserve"> pr</w:t>
      </w:r>
      <w:r>
        <w:rPr>
          <w:sz w:val="24"/>
          <w:szCs w:val="24"/>
        </w:rPr>
        <w:t>oběhlo online na platformě Zoom, z</w:t>
      </w:r>
      <w:r w:rsidR="009C47A7">
        <w:rPr>
          <w:sz w:val="24"/>
          <w:szCs w:val="24"/>
        </w:rPr>
        <w:t xml:space="preserve">ahájila </w:t>
      </w:r>
      <w:r w:rsidR="009C47A7">
        <w:rPr>
          <w:sz w:val="24"/>
        </w:rPr>
        <w:t>Mgr. Miturová (tajemnice)</w:t>
      </w:r>
      <w:r w:rsidR="009C47A7">
        <w:rPr>
          <w:sz w:val="24"/>
          <w:szCs w:val="24"/>
        </w:rPr>
        <w:t>. N</w:t>
      </w:r>
      <w:r>
        <w:rPr>
          <w:sz w:val="24"/>
          <w:szCs w:val="24"/>
        </w:rPr>
        <w:t>ovými členkami komise od r. 202</w:t>
      </w:r>
      <w:r w:rsidR="007D7CC7">
        <w:rPr>
          <w:sz w:val="24"/>
          <w:szCs w:val="24"/>
        </w:rPr>
        <w:t>4</w:t>
      </w:r>
      <w:r w:rsidR="009C47A7">
        <w:rPr>
          <w:sz w:val="24"/>
          <w:szCs w:val="24"/>
        </w:rPr>
        <w:t xml:space="preserve"> jsou </w:t>
      </w:r>
      <w:r w:rsidR="00504A25">
        <w:rPr>
          <w:sz w:val="24"/>
          <w:szCs w:val="24"/>
        </w:rPr>
        <w:t xml:space="preserve">Mgr. </w:t>
      </w:r>
      <w:r w:rsidR="007D7CC7">
        <w:rPr>
          <w:sz w:val="24"/>
          <w:szCs w:val="24"/>
        </w:rPr>
        <w:t xml:space="preserve">Hornychová </w:t>
      </w:r>
      <w:r w:rsidR="00504A25">
        <w:rPr>
          <w:sz w:val="24"/>
          <w:szCs w:val="24"/>
        </w:rPr>
        <w:t>a</w:t>
      </w:r>
      <w:r w:rsidR="007D7CC7">
        <w:rPr>
          <w:sz w:val="24"/>
          <w:szCs w:val="24"/>
        </w:rPr>
        <w:t xml:space="preserve"> Dr</w:t>
      </w:r>
      <w:r w:rsidR="00504A25">
        <w:rPr>
          <w:sz w:val="24"/>
          <w:szCs w:val="24"/>
        </w:rPr>
        <w:t xml:space="preserve">. </w:t>
      </w:r>
      <w:r w:rsidR="007D7CC7">
        <w:rPr>
          <w:sz w:val="24"/>
          <w:szCs w:val="24"/>
        </w:rPr>
        <w:t>Svobodová</w:t>
      </w:r>
      <w:r w:rsidR="009C47A7">
        <w:rPr>
          <w:sz w:val="24"/>
          <w:szCs w:val="24"/>
        </w:rPr>
        <w:t xml:space="preserve">. </w:t>
      </w:r>
      <w:r>
        <w:rPr>
          <w:sz w:val="24"/>
        </w:rPr>
        <w:t>Předsed</w:t>
      </w:r>
      <w:r w:rsidR="00504A25">
        <w:rPr>
          <w:sz w:val="24"/>
        </w:rPr>
        <w:t>kyní</w:t>
      </w:r>
      <w:r>
        <w:rPr>
          <w:sz w:val="24"/>
        </w:rPr>
        <w:t xml:space="preserve"> byl</w:t>
      </w:r>
      <w:r w:rsidR="00504A25">
        <w:rPr>
          <w:sz w:val="24"/>
        </w:rPr>
        <w:t>a</w:t>
      </w:r>
      <w:r>
        <w:rPr>
          <w:sz w:val="24"/>
        </w:rPr>
        <w:t xml:space="preserve"> zvolen</w:t>
      </w:r>
      <w:r w:rsidR="00504A25">
        <w:rPr>
          <w:sz w:val="24"/>
        </w:rPr>
        <w:t>a</w:t>
      </w:r>
      <w:r>
        <w:rPr>
          <w:sz w:val="24"/>
        </w:rPr>
        <w:t xml:space="preserve"> </w:t>
      </w:r>
      <w:r w:rsidR="007D7CC7">
        <w:rPr>
          <w:sz w:val="24"/>
        </w:rPr>
        <w:t>Mgr. Vodáková</w:t>
      </w:r>
      <w:r w:rsidR="009C47A7">
        <w:rPr>
          <w:sz w:val="24"/>
        </w:rPr>
        <w:t>, místo</w:t>
      </w:r>
      <w:r w:rsidR="00B650FD">
        <w:rPr>
          <w:sz w:val="24"/>
        </w:rPr>
        <w:t xml:space="preserve">předsedkyní </w:t>
      </w:r>
      <w:r w:rsidR="007D7CC7">
        <w:rPr>
          <w:sz w:val="24"/>
        </w:rPr>
        <w:t>Mgr. Formánková</w:t>
      </w:r>
      <w:r>
        <w:rPr>
          <w:sz w:val="24"/>
        </w:rPr>
        <w:t>. Jednání dále vedl</w:t>
      </w:r>
      <w:r w:rsidR="00504A25">
        <w:rPr>
          <w:sz w:val="24"/>
        </w:rPr>
        <w:t>a</w:t>
      </w:r>
      <w:r>
        <w:rPr>
          <w:sz w:val="24"/>
        </w:rPr>
        <w:t xml:space="preserve"> předsed</w:t>
      </w:r>
      <w:r w:rsidR="00504A25">
        <w:rPr>
          <w:sz w:val="24"/>
        </w:rPr>
        <w:t>kyně</w:t>
      </w:r>
      <w:r w:rsidR="009C47A7">
        <w:rPr>
          <w:sz w:val="24"/>
        </w:rPr>
        <w:t xml:space="preserve"> komise.</w:t>
      </w:r>
    </w:p>
    <w:p w:rsidR="00F93557" w:rsidRDefault="00F93557">
      <w:pPr>
        <w:jc w:val="both"/>
        <w:rPr>
          <w:sz w:val="24"/>
          <w:u w:val="single"/>
        </w:rPr>
      </w:pPr>
    </w:p>
    <w:p w:rsidR="00722026" w:rsidRDefault="00644217">
      <w:pPr>
        <w:rPr>
          <w:b/>
          <w:sz w:val="24"/>
        </w:rPr>
      </w:pPr>
      <w:r>
        <w:rPr>
          <w:b/>
          <w:sz w:val="24"/>
        </w:rPr>
        <w:t>2. Hodnocení předchozího ročníku podprogramu VISK 5 a jiné:</w:t>
      </w:r>
    </w:p>
    <w:p w:rsidR="00B83F73" w:rsidRDefault="00644217" w:rsidP="00B83F73">
      <w:pPr>
        <w:jc w:val="both"/>
        <w:rPr>
          <w:sz w:val="24"/>
        </w:rPr>
      </w:pPr>
      <w:r>
        <w:rPr>
          <w:sz w:val="24"/>
        </w:rPr>
        <w:t>Odborná</w:t>
      </w:r>
      <w:r w:rsidR="002E1AAD">
        <w:rPr>
          <w:sz w:val="24"/>
        </w:rPr>
        <w:t xml:space="preserve"> </w:t>
      </w:r>
      <w:proofErr w:type="spellStart"/>
      <w:r>
        <w:rPr>
          <w:sz w:val="24"/>
        </w:rPr>
        <w:t>garantka</w:t>
      </w:r>
      <w:proofErr w:type="spellEnd"/>
      <w:r>
        <w:rPr>
          <w:sz w:val="24"/>
        </w:rPr>
        <w:t xml:space="preserve"> Mgr. Mikšovská předložila souhrnnou zprávu o naplňování cílů </w:t>
      </w:r>
      <w:r w:rsidR="00B650FD">
        <w:rPr>
          <w:sz w:val="24"/>
          <w:szCs w:val="24"/>
        </w:rPr>
        <w:t>podprogramu VISK 5 za rok 202</w:t>
      </w:r>
      <w:r w:rsidR="007D7CC7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hyperlink r:id="rId8">
        <w:r>
          <w:rPr>
            <w:rStyle w:val="Internetovodkaz"/>
            <w:sz w:val="24"/>
            <w:szCs w:val="24"/>
          </w:rPr>
          <w:t>http://visk.nkp.cz/visk-5</w:t>
        </w:r>
      </w:hyperlink>
      <w:r>
        <w:rPr>
          <w:sz w:val="24"/>
          <w:szCs w:val="24"/>
        </w:rPr>
        <w:t xml:space="preserve">). Během </w:t>
      </w:r>
      <w:r w:rsidR="00B650FD">
        <w:rPr>
          <w:sz w:val="24"/>
          <w:szCs w:val="24"/>
        </w:rPr>
        <w:t xml:space="preserve">roku bylo vytvořeno </w:t>
      </w:r>
      <w:r w:rsidR="00B650FD">
        <w:rPr>
          <w:sz w:val="24"/>
          <w:szCs w:val="24"/>
        </w:rPr>
        <w:br/>
      </w:r>
      <w:r w:rsidR="007D7CC7">
        <w:rPr>
          <w:sz w:val="24"/>
          <w:szCs w:val="24"/>
        </w:rPr>
        <w:t>30</w:t>
      </w:r>
      <w:r w:rsidR="00504A25">
        <w:rPr>
          <w:sz w:val="24"/>
          <w:szCs w:val="24"/>
        </w:rPr>
        <w:t>.</w:t>
      </w:r>
      <w:r w:rsidR="007D7CC7">
        <w:rPr>
          <w:sz w:val="24"/>
          <w:szCs w:val="24"/>
        </w:rPr>
        <w:t>328</w:t>
      </w:r>
      <w:r>
        <w:rPr>
          <w:sz w:val="24"/>
          <w:szCs w:val="24"/>
        </w:rPr>
        <w:t xml:space="preserve"> nových bibliografických záznamů ve </w:t>
      </w:r>
      <w:r w:rsidR="00021280">
        <w:rPr>
          <w:sz w:val="24"/>
          <w:szCs w:val="24"/>
        </w:rPr>
        <w:t>standard</w:t>
      </w:r>
      <w:r w:rsidR="002A6A05">
        <w:rPr>
          <w:sz w:val="24"/>
          <w:szCs w:val="24"/>
        </w:rPr>
        <w:t>izovaném formátu MARC21</w:t>
      </w:r>
      <w:r w:rsidR="00504A25">
        <w:rPr>
          <w:sz w:val="24"/>
          <w:szCs w:val="24"/>
        </w:rPr>
        <w:t>, které byly průběžně dodávány</w:t>
      </w:r>
      <w:r w:rsidR="002A6A05">
        <w:rPr>
          <w:sz w:val="24"/>
          <w:szCs w:val="24"/>
        </w:rPr>
        <w:t xml:space="preserve"> </w:t>
      </w:r>
      <w:r w:rsidR="00504A25">
        <w:rPr>
          <w:sz w:val="24"/>
          <w:szCs w:val="24"/>
        </w:rPr>
        <w:t>d</w:t>
      </w:r>
      <w:r w:rsidR="00021280">
        <w:rPr>
          <w:sz w:val="24"/>
          <w:szCs w:val="24"/>
        </w:rPr>
        <w:t>o Souborného katalogu ČR CASLIN</w:t>
      </w:r>
      <w:r w:rsidR="00B650FD">
        <w:rPr>
          <w:rStyle w:val="Znakapoznpodarou"/>
          <w:sz w:val="24"/>
          <w:szCs w:val="24"/>
        </w:rPr>
        <w:footnoteReference w:id="1"/>
      </w:r>
      <w:r w:rsidR="009C47A7">
        <w:rPr>
          <w:sz w:val="24"/>
        </w:rPr>
        <w:t>.</w:t>
      </w:r>
    </w:p>
    <w:p w:rsidR="00C71442" w:rsidRPr="009C53DD" w:rsidRDefault="00C71442" w:rsidP="00C71442">
      <w:pPr>
        <w:jc w:val="both"/>
        <w:rPr>
          <w:sz w:val="24"/>
        </w:rPr>
      </w:pPr>
      <w:r w:rsidRPr="00A46F52">
        <w:rPr>
          <w:sz w:val="24"/>
        </w:rPr>
        <w:t>Mgr. Miturová upozornila, že žádosti</w:t>
      </w:r>
      <w:r w:rsidRPr="009C53DD">
        <w:rPr>
          <w:sz w:val="24"/>
        </w:rPr>
        <w:t xml:space="preserve"> </w:t>
      </w:r>
      <w:r>
        <w:rPr>
          <w:sz w:val="24"/>
        </w:rPr>
        <w:t xml:space="preserve">o poskytnutí dotace </w:t>
      </w:r>
      <w:r w:rsidRPr="009C53DD">
        <w:rPr>
          <w:sz w:val="24"/>
        </w:rPr>
        <w:t>VISK</w:t>
      </w:r>
      <w:r>
        <w:rPr>
          <w:sz w:val="24"/>
        </w:rPr>
        <w:t xml:space="preserve"> aj. dokumenty,</w:t>
      </w:r>
      <w:r w:rsidRPr="009C53DD">
        <w:rPr>
          <w:sz w:val="24"/>
        </w:rPr>
        <w:t xml:space="preserve"> </w:t>
      </w:r>
      <w:r>
        <w:rPr>
          <w:sz w:val="24"/>
        </w:rPr>
        <w:t>zasílané do</w:t>
      </w:r>
      <w:r w:rsidRPr="009C53DD">
        <w:rPr>
          <w:sz w:val="24"/>
        </w:rPr>
        <w:t xml:space="preserve"> datov</w:t>
      </w:r>
      <w:r>
        <w:rPr>
          <w:sz w:val="24"/>
        </w:rPr>
        <w:t>é</w:t>
      </w:r>
      <w:r w:rsidRPr="009C53DD">
        <w:rPr>
          <w:sz w:val="24"/>
        </w:rPr>
        <w:t xml:space="preserve"> schránk</w:t>
      </w:r>
      <w:r>
        <w:rPr>
          <w:sz w:val="24"/>
        </w:rPr>
        <w:t>y Ministerstva kultury,</w:t>
      </w:r>
      <w:r w:rsidRPr="009C53DD">
        <w:rPr>
          <w:sz w:val="24"/>
        </w:rPr>
        <w:t xml:space="preserve"> by měly být opatřeny kvalifikovaným elektronickým podpisem.</w:t>
      </w:r>
      <w:r>
        <w:rPr>
          <w:sz w:val="24"/>
        </w:rPr>
        <w:t xml:space="preserve"> Komise doporučila v tomto smyslu aktualizovat zadávací dokumentaci VISK na rok 2025.</w:t>
      </w:r>
    </w:p>
    <w:p w:rsidR="00E120D6" w:rsidRDefault="00E120D6">
      <w:pPr>
        <w:jc w:val="both"/>
        <w:rPr>
          <w:sz w:val="24"/>
          <w:u w:val="single"/>
        </w:rPr>
      </w:pPr>
    </w:p>
    <w:p w:rsidR="00722026" w:rsidRPr="00753F56" w:rsidRDefault="00365BD4">
      <w:pPr>
        <w:jc w:val="both"/>
        <w:rPr>
          <w:b/>
          <w:sz w:val="24"/>
        </w:rPr>
      </w:pPr>
      <w:r w:rsidRPr="00753F56">
        <w:rPr>
          <w:b/>
          <w:sz w:val="24"/>
        </w:rPr>
        <w:t>3</w:t>
      </w:r>
      <w:r w:rsidR="00644217" w:rsidRPr="00753F56">
        <w:rPr>
          <w:b/>
          <w:sz w:val="24"/>
        </w:rPr>
        <w:t>. Projednávání projektů:</w:t>
      </w:r>
    </w:p>
    <w:p w:rsidR="00722026" w:rsidRPr="00753F56" w:rsidRDefault="00B650FD">
      <w:pPr>
        <w:jc w:val="both"/>
        <w:rPr>
          <w:sz w:val="24"/>
          <w:u w:val="single"/>
        </w:rPr>
      </w:pPr>
      <w:r>
        <w:rPr>
          <w:sz w:val="24"/>
          <w:u w:val="single"/>
        </w:rPr>
        <w:t>Pro rok 202</w:t>
      </w:r>
      <w:r w:rsidR="00C71442">
        <w:rPr>
          <w:sz w:val="24"/>
          <w:u w:val="single"/>
        </w:rPr>
        <w:t>4</w:t>
      </w:r>
      <w:r w:rsidR="00644217" w:rsidRPr="00753F56">
        <w:rPr>
          <w:sz w:val="24"/>
          <w:u w:val="single"/>
        </w:rPr>
        <w:t xml:space="preserve"> byly stanoveny tyto zásady: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existující spolupráce žadatele se Souborným katalogem ČR (SK ČR),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podpora </w:t>
      </w:r>
      <w:proofErr w:type="spellStart"/>
      <w:r w:rsidRPr="00753F56">
        <w:rPr>
          <w:sz w:val="24"/>
        </w:rPr>
        <w:t>retrokonverze</w:t>
      </w:r>
      <w:proofErr w:type="spellEnd"/>
      <w:r w:rsidR="00166EEF">
        <w:rPr>
          <w:sz w:val="24"/>
        </w:rPr>
        <w:t xml:space="preserve"> a </w:t>
      </w:r>
      <w:proofErr w:type="spellStart"/>
      <w:r w:rsidR="00166EEF">
        <w:rPr>
          <w:sz w:val="24"/>
        </w:rPr>
        <w:t>re</w:t>
      </w:r>
      <w:r w:rsidR="00B83F73">
        <w:rPr>
          <w:sz w:val="24"/>
        </w:rPr>
        <w:t>katalogizace</w:t>
      </w:r>
      <w:proofErr w:type="spellEnd"/>
      <w:r w:rsidRPr="00753F56">
        <w:rPr>
          <w:sz w:val="24"/>
        </w:rPr>
        <w:t xml:space="preserve"> fondů s významným přínosem pro SK ČR a meziknihovní výpůjční službu (MVS),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dodržování platných knihovnických i technických standardů,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podpora projektů rozpracovaných v předchozích letech,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možnost doplnění věcného popisu dokumentů,</w:t>
      </w:r>
    </w:p>
    <w:p w:rsidR="00504A25" w:rsidRPr="00753F56" w:rsidRDefault="00504A2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dotace nebyla poskytována na nákup výpočetní techniky,</w:t>
      </w:r>
    </w:p>
    <w:p w:rsidR="00722026" w:rsidRPr="00753F56" w:rsidRDefault="00644217">
      <w:pPr>
        <w:pStyle w:val="Zkladntextodsazen"/>
        <w:numPr>
          <w:ilvl w:val="0"/>
          <w:numId w:val="1"/>
        </w:numPr>
        <w:tabs>
          <w:tab w:val="left" w:pos="1136"/>
        </w:tabs>
        <w:suppressAutoHyphens/>
        <w:spacing w:after="0"/>
        <w:jc w:val="both"/>
        <w:rPr>
          <w:bCs/>
          <w:sz w:val="24"/>
          <w:szCs w:val="24"/>
        </w:rPr>
      </w:pPr>
      <w:r w:rsidRPr="00753F56">
        <w:rPr>
          <w:bCs/>
          <w:sz w:val="24"/>
          <w:szCs w:val="24"/>
        </w:rPr>
        <w:t>výše dotace byla zaokrouhlována na celé tisíce směrem dolů.</w:t>
      </w:r>
    </w:p>
    <w:p w:rsidR="00722026" w:rsidRPr="00753F56" w:rsidRDefault="00722026">
      <w:pPr>
        <w:jc w:val="both"/>
        <w:rPr>
          <w:sz w:val="24"/>
        </w:rPr>
      </w:pPr>
    </w:p>
    <w:p w:rsidR="00722026" w:rsidRPr="00753F56" w:rsidRDefault="00644217">
      <w:pPr>
        <w:jc w:val="both"/>
        <w:rPr>
          <w:sz w:val="24"/>
          <w:u w:val="single"/>
        </w:rPr>
      </w:pPr>
      <w:r w:rsidRPr="00753F56">
        <w:rPr>
          <w:sz w:val="24"/>
          <w:u w:val="single"/>
        </w:rPr>
        <w:t>Základní pravidla přidělování finančních prostředků a způsob hlasování:</w:t>
      </w:r>
    </w:p>
    <w:p w:rsidR="00EE7550" w:rsidRDefault="002A6A05" w:rsidP="00EE7550">
      <w:pPr>
        <w:jc w:val="both"/>
        <w:rPr>
          <w:sz w:val="24"/>
          <w:szCs w:val="24"/>
        </w:rPr>
      </w:pPr>
      <w:r w:rsidRPr="00753F56">
        <w:rPr>
          <w:sz w:val="24"/>
        </w:rPr>
        <w:t>Členové komise vedli</w:t>
      </w:r>
      <w:r w:rsidR="00644217" w:rsidRPr="00753F56">
        <w:rPr>
          <w:sz w:val="24"/>
        </w:rPr>
        <w:t xml:space="preserve"> podrobnou rozpravu o každém předloženém projektu. Předmětem jednání bylo splnění základních</w:t>
      </w:r>
      <w:r w:rsidR="00644217">
        <w:rPr>
          <w:sz w:val="24"/>
        </w:rPr>
        <w:t xml:space="preserve"> podmínek stanovených v zadávací dokumentaci </w:t>
      </w:r>
      <w:r w:rsidR="00B650FD">
        <w:rPr>
          <w:sz w:val="24"/>
        </w:rPr>
        <w:t>k podprogramu VISK 5 na rok 202</w:t>
      </w:r>
      <w:r w:rsidR="000925FA">
        <w:rPr>
          <w:sz w:val="24"/>
        </w:rPr>
        <w:t>4</w:t>
      </w:r>
      <w:r w:rsidR="00644217">
        <w:rPr>
          <w:sz w:val="24"/>
        </w:rPr>
        <w:t xml:space="preserve">, přínos pro SK ČR a MVS, dodržování knihovnických a technických standardů, kontinuita z předchozích let, efektivita využití prostředků (cena za 1 záznam), množství dodaných záznamů do SK ČR. </w:t>
      </w:r>
      <w:r w:rsidR="00644217">
        <w:rPr>
          <w:sz w:val="24"/>
          <w:szCs w:val="24"/>
        </w:rPr>
        <w:t>Poté byly jednotlivým projektům přidělovány konkrétní částky.</w:t>
      </w:r>
      <w:r>
        <w:rPr>
          <w:sz w:val="24"/>
          <w:szCs w:val="24"/>
        </w:rPr>
        <w:t xml:space="preserve"> </w:t>
      </w:r>
      <w:r w:rsidR="003420B3">
        <w:rPr>
          <w:sz w:val="24"/>
          <w:szCs w:val="24"/>
        </w:rPr>
        <w:t>Pokud byl projednáván projekt instituce, jejímž pracovníkem (členem statutárního orgánu) je člen komise, pak se tento člen komise rozpravy ani hlasování o projektu neúčastnil</w:t>
      </w:r>
      <w:r w:rsidR="00EE7550">
        <w:rPr>
          <w:sz w:val="24"/>
          <w:szCs w:val="24"/>
        </w:rPr>
        <w:t xml:space="preserve"> (Mgr. Formánková – projekt č. 7; Mgr. Hornychová – č. 6; </w:t>
      </w:r>
      <w:r w:rsidR="00EE46F4">
        <w:rPr>
          <w:sz w:val="24"/>
          <w:szCs w:val="24"/>
        </w:rPr>
        <w:br/>
        <w:t xml:space="preserve">H. </w:t>
      </w:r>
      <w:r w:rsidR="00EE7550">
        <w:rPr>
          <w:sz w:val="24"/>
          <w:szCs w:val="24"/>
        </w:rPr>
        <w:t>Trinkewitzová – č. 5).</w:t>
      </w:r>
    </w:p>
    <w:p w:rsidR="003420B3" w:rsidRDefault="003420B3" w:rsidP="003420B3">
      <w:pPr>
        <w:jc w:val="both"/>
        <w:rPr>
          <w:sz w:val="24"/>
          <w:szCs w:val="24"/>
        </w:rPr>
      </w:pPr>
    </w:p>
    <w:p w:rsidR="00C363E3" w:rsidRDefault="00C363E3" w:rsidP="003420B3">
      <w:pPr>
        <w:jc w:val="both"/>
        <w:rPr>
          <w:sz w:val="24"/>
          <w:szCs w:val="24"/>
        </w:rPr>
      </w:pPr>
    </w:p>
    <w:p w:rsidR="005B37FC" w:rsidRDefault="00270FDF" w:rsidP="005B37FC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5B37FC">
        <w:rPr>
          <w:b/>
          <w:sz w:val="24"/>
        </w:rPr>
        <w:t>. Důvody nepřidělení dotace:</w:t>
      </w:r>
    </w:p>
    <w:p w:rsidR="00BC1395" w:rsidRDefault="005B37FC" w:rsidP="005B37FC">
      <w:pPr>
        <w:jc w:val="both"/>
        <w:rPr>
          <w:sz w:val="24"/>
        </w:rPr>
      </w:pPr>
      <w:r>
        <w:rPr>
          <w:sz w:val="24"/>
        </w:rPr>
        <w:t>- projekt č. 2 (Český rozhlas – gramodesky): Projekt byl zamítnut</w:t>
      </w:r>
      <w:r w:rsidR="00BC1395">
        <w:rPr>
          <w:sz w:val="24"/>
        </w:rPr>
        <w:t xml:space="preserve">, neboť zpracování fondu gramofonových desek </w:t>
      </w:r>
      <w:r w:rsidR="00270FDF">
        <w:rPr>
          <w:sz w:val="24"/>
        </w:rPr>
        <w:t>zatím</w:t>
      </w:r>
      <w:r w:rsidR="00BC1395">
        <w:rPr>
          <w:sz w:val="24"/>
        </w:rPr>
        <w:t xml:space="preserve"> nebylo zahájeno</w:t>
      </w:r>
      <w:r w:rsidR="00270FDF">
        <w:rPr>
          <w:sz w:val="24"/>
        </w:rPr>
        <w:t xml:space="preserve"> a</w:t>
      </w:r>
      <w:r w:rsidR="00BC1395">
        <w:rPr>
          <w:sz w:val="24"/>
        </w:rPr>
        <w:t xml:space="preserve"> projekt neskýtá záruky úspěšné</w:t>
      </w:r>
      <w:r w:rsidR="00270FDF">
        <w:rPr>
          <w:sz w:val="24"/>
        </w:rPr>
        <w:t xml:space="preserve"> realizace</w:t>
      </w:r>
      <w:r w:rsidR="00BC1395">
        <w:rPr>
          <w:sz w:val="24"/>
        </w:rPr>
        <w:t xml:space="preserve"> do konce roku 2024, požadované náklady na IT služby jsou vysoké, </w:t>
      </w:r>
      <w:r w:rsidR="00EE46F4">
        <w:rPr>
          <w:sz w:val="24"/>
        </w:rPr>
        <w:t>rovněž</w:t>
      </w:r>
      <w:r w:rsidR="00270FDF">
        <w:rPr>
          <w:sz w:val="24"/>
        </w:rPr>
        <w:t xml:space="preserve"> i </w:t>
      </w:r>
      <w:r w:rsidR="00BC1395">
        <w:rPr>
          <w:sz w:val="24"/>
        </w:rPr>
        <w:t xml:space="preserve">cena za 1 záznam (308,22 Kč), </w:t>
      </w:r>
      <w:r w:rsidR="00270FDF">
        <w:rPr>
          <w:sz w:val="24"/>
        </w:rPr>
        <w:t xml:space="preserve">metoda zpracování (fotografování etiket a následná katalogizace) se nejeví </w:t>
      </w:r>
      <w:r w:rsidR="00EE46F4">
        <w:rPr>
          <w:sz w:val="24"/>
        </w:rPr>
        <w:t xml:space="preserve">jako </w:t>
      </w:r>
      <w:r w:rsidR="00270FDF">
        <w:rPr>
          <w:sz w:val="24"/>
        </w:rPr>
        <w:t>dostatečně efektivní.</w:t>
      </w:r>
    </w:p>
    <w:p w:rsidR="005B37FC" w:rsidRPr="00BC1395" w:rsidRDefault="005B37FC" w:rsidP="005B37FC">
      <w:pPr>
        <w:jc w:val="both"/>
        <w:rPr>
          <w:sz w:val="24"/>
        </w:rPr>
      </w:pPr>
      <w:r w:rsidRPr="00BC1395">
        <w:rPr>
          <w:sz w:val="24"/>
        </w:rPr>
        <w:t xml:space="preserve">- projekt č. 16 (NF </w:t>
      </w:r>
      <w:proofErr w:type="spellStart"/>
      <w:r w:rsidRPr="00BC1395">
        <w:rPr>
          <w:sz w:val="24"/>
        </w:rPr>
        <w:t>Stadler-Trier</w:t>
      </w:r>
      <w:proofErr w:type="spellEnd"/>
      <w:r w:rsidRPr="00BC1395">
        <w:rPr>
          <w:sz w:val="24"/>
        </w:rPr>
        <w:t>): Projekt byl zamítnut vzhledem k výrazným formálním nedostatkům – chybí část Základní údaje o žadateli – Poskytnuté dotace z programu VISK 5 – Seznam osob, v nichž má žadatel, který je právnickou osobou podíl, požad</w:t>
      </w:r>
      <w:r w:rsidR="00EE46F4">
        <w:rPr>
          <w:sz w:val="24"/>
        </w:rPr>
        <w:t>ované</w:t>
      </w:r>
      <w:r w:rsidRPr="00BC1395">
        <w:rPr>
          <w:sz w:val="24"/>
        </w:rPr>
        <w:t xml:space="preserve"> ostatní osobní náklady jsou v Rozpočtu projektu uvedeny v chybném řádku</w:t>
      </w:r>
      <w:r w:rsidR="00270FDF">
        <w:rPr>
          <w:sz w:val="24"/>
        </w:rPr>
        <w:t xml:space="preserve"> „nákupy“.</w:t>
      </w:r>
    </w:p>
    <w:p w:rsidR="00FF60F6" w:rsidRDefault="00FF60F6">
      <w:pPr>
        <w:jc w:val="both"/>
        <w:rPr>
          <w:sz w:val="24"/>
        </w:rPr>
      </w:pPr>
    </w:p>
    <w:p w:rsidR="00E120D6" w:rsidRDefault="00E120D6">
      <w:pPr>
        <w:jc w:val="both"/>
        <w:rPr>
          <w:sz w:val="24"/>
        </w:rPr>
      </w:pPr>
    </w:p>
    <w:p w:rsidR="00722026" w:rsidRPr="000B0DCA" w:rsidRDefault="00270FDF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644217" w:rsidRPr="000B0DCA">
        <w:rPr>
          <w:b/>
          <w:sz w:val="24"/>
        </w:rPr>
        <w:t>. Doporučení komise a podmínky poskytnutí dotace:</w:t>
      </w:r>
    </w:p>
    <w:p w:rsidR="00AD5813" w:rsidRDefault="00270FDF" w:rsidP="00270FDF">
      <w:pPr>
        <w:jc w:val="both"/>
        <w:rPr>
          <w:sz w:val="24"/>
        </w:rPr>
      </w:pPr>
      <w:r w:rsidRPr="00270FDF">
        <w:rPr>
          <w:sz w:val="24"/>
        </w:rPr>
        <w:t xml:space="preserve">- projekt č. 3 (Český rozhlas – notové sbírky): </w:t>
      </w:r>
      <w:r w:rsidR="003272EB" w:rsidRPr="00AD5813">
        <w:rPr>
          <w:sz w:val="24"/>
        </w:rPr>
        <w:t>V žádosti je chybně kalkulována cena za 1 záznam, počet záznamů</w:t>
      </w:r>
      <w:r w:rsidR="00AD5813">
        <w:rPr>
          <w:sz w:val="24"/>
        </w:rPr>
        <w:t xml:space="preserve"> je</w:t>
      </w:r>
      <w:r w:rsidR="003D6EC4">
        <w:rPr>
          <w:sz w:val="24"/>
        </w:rPr>
        <w:t xml:space="preserve"> v žádosti</w:t>
      </w:r>
      <w:r w:rsidR="00AD5813">
        <w:rPr>
          <w:sz w:val="24"/>
        </w:rPr>
        <w:t xml:space="preserve"> uváděn různě</w:t>
      </w:r>
      <w:r w:rsidR="003272EB" w:rsidRPr="00AD5813">
        <w:rPr>
          <w:sz w:val="24"/>
        </w:rPr>
        <w:t>, záznamy dodané za rok 2023</w:t>
      </w:r>
      <w:r w:rsidR="00AD5813">
        <w:rPr>
          <w:sz w:val="24"/>
        </w:rPr>
        <w:t xml:space="preserve"> do SK ČR</w:t>
      </w:r>
      <w:r w:rsidR="003272EB" w:rsidRPr="00AD5813">
        <w:rPr>
          <w:sz w:val="24"/>
        </w:rPr>
        <w:t xml:space="preserve"> nejsou dostatečně podrobné</w:t>
      </w:r>
      <w:r w:rsidR="007E19BD">
        <w:rPr>
          <w:sz w:val="24"/>
        </w:rPr>
        <w:t xml:space="preserve"> a kvalitní</w:t>
      </w:r>
      <w:r w:rsidR="00AD5813">
        <w:rPr>
          <w:sz w:val="24"/>
        </w:rPr>
        <w:t>;</w:t>
      </w:r>
      <w:r w:rsidR="003272EB" w:rsidRPr="00AD5813">
        <w:rPr>
          <w:sz w:val="24"/>
        </w:rPr>
        <w:t xml:space="preserve"> </w:t>
      </w:r>
      <w:r w:rsidR="00AD5813">
        <w:rPr>
          <w:sz w:val="24"/>
        </w:rPr>
        <w:t>z</w:t>
      </w:r>
      <w:r w:rsidRPr="00AD5813">
        <w:rPr>
          <w:sz w:val="24"/>
        </w:rPr>
        <w:t> těchto důvodů byla dotace krácena</w:t>
      </w:r>
      <w:r w:rsidR="00AD5813" w:rsidRPr="00AD5813">
        <w:rPr>
          <w:sz w:val="24"/>
        </w:rPr>
        <w:t>.</w:t>
      </w:r>
      <w:r w:rsidR="00AD5813">
        <w:rPr>
          <w:sz w:val="24"/>
        </w:rPr>
        <w:t xml:space="preserve"> </w:t>
      </w:r>
      <w:r w:rsidR="00AD5813" w:rsidRPr="00AD5813">
        <w:rPr>
          <w:b/>
          <w:sz w:val="24"/>
          <w:u w:val="single"/>
        </w:rPr>
        <w:t>Podmínka:</w:t>
      </w:r>
      <w:r w:rsidR="00AD5813" w:rsidRPr="00AD5813">
        <w:rPr>
          <w:sz w:val="24"/>
        </w:rPr>
        <w:t xml:space="preserve"> </w:t>
      </w:r>
      <w:r w:rsidR="00AD5813" w:rsidRPr="00AD5813">
        <w:rPr>
          <w:sz w:val="24"/>
          <w:u w:val="single"/>
        </w:rPr>
        <w:t>Za poskytnutou částku je třeba vytvořit minimálně 3.500 záznamů.</w:t>
      </w:r>
      <w:r w:rsidR="00AD5813" w:rsidRPr="00AD5813">
        <w:rPr>
          <w:sz w:val="24"/>
        </w:rPr>
        <w:t xml:space="preserve"> </w:t>
      </w:r>
      <w:r w:rsidR="007E19BD">
        <w:rPr>
          <w:sz w:val="24"/>
        </w:rPr>
        <w:t>J</w:t>
      </w:r>
      <w:r w:rsidR="00AD5813">
        <w:rPr>
          <w:sz w:val="24"/>
        </w:rPr>
        <w:t>e třeba výrazně zlepšit kvalitu záznamů, jinak</w:t>
      </w:r>
      <w:r w:rsidR="006E58FC">
        <w:rPr>
          <w:sz w:val="24"/>
        </w:rPr>
        <w:t xml:space="preserve"> dotace</w:t>
      </w:r>
      <w:r w:rsidR="00AD5813">
        <w:rPr>
          <w:sz w:val="24"/>
        </w:rPr>
        <w:t xml:space="preserve"> na </w:t>
      </w:r>
      <w:r w:rsidR="006E58FC">
        <w:rPr>
          <w:sz w:val="24"/>
        </w:rPr>
        <w:t>příští rok nebude</w:t>
      </w:r>
      <w:r w:rsidR="00AD5813">
        <w:rPr>
          <w:sz w:val="24"/>
        </w:rPr>
        <w:t xml:space="preserve"> poskytnuta.</w:t>
      </w:r>
    </w:p>
    <w:p w:rsidR="00AD5813" w:rsidRDefault="00AD5813" w:rsidP="00270FDF">
      <w:pPr>
        <w:jc w:val="both"/>
        <w:rPr>
          <w:sz w:val="24"/>
        </w:rPr>
      </w:pPr>
      <w:r w:rsidRPr="00AD5813">
        <w:rPr>
          <w:sz w:val="24"/>
        </w:rPr>
        <w:t>- projekt č. 4 (HÚ AV ČR): V žádosti je chybně kalkulována cena za 1 záznam</w:t>
      </w:r>
      <w:r>
        <w:rPr>
          <w:sz w:val="24"/>
        </w:rPr>
        <w:t>.</w:t>
      </w:r>
    </w:p>
    <w:p w:rsidR="00C100B8" w:rsidRPr="00C100B8" w:rsidRDefault="00C100B8" w:rsidP="00C100B8">
      <w:pPr>
        <w:jc w:val="both"/>
        <w:rPr>
          <w:sz w:val="24"/>
        </w:rPr>
      </w:pPr>
      <w:r w:rsidRPr="00C100B8">
        <w:rPr>
          <w:sz w:val="24"/>
        </w:rPr>
        <w:t>- projekt č. 5 (KNAV ČR): V tabulce Základní údaje o žadateli je chybně vyplněn typ podpory (nejedná se o „jednorázovou“ podporu), cena za 1 záznam</w:t>
      </w:r>
      <w:r w:rsidR="00746F77">
        <w:rPr>
          <w:sz w:val="24"/>
        </w:rPr>
        <w:t xml:space="preserve"> </w:t>
      </w:r>
      <w:r w:rsidR="00746F77" w:rsidRPr="00C100B8">
        <w:rPr>
          <w:sz w:val="24"/>
        </w:rPr>
        <w:t>je chybně kalkulována</w:t>
      </w:r>
      <w:r w:rsidRPr="00C100B8">
        <w:rPr>
          <w:sz w:val="24"/>
        </w:rPr>
        <w:t>.</w:t>
      </w:r>
    </w:p>
    <w:p w:rsidR="00C100B8" w:rsidRPr="00C100B8" w:rsidRDefault="00C100B8" w:rsidP="00C100B8">
      <w:pPr>
        <w:jc w:val="both"/>
        <w:rPr>
          <w:sz w:val="24"/>
        </w:rPr>
      </w:pPr>
      <w:r w:rsidRPr="00C100B8">
        <w:rPr>
          <w:sz w:val="24"/>
        </w:rPr>
        <w:t xml:space="preserve">- projekt č. 6 (SVK Hradec Králové): </w:t>
      </w:r>
      <w:r w:rsidRPr="00AD5813">
        <w:rPr>
          <w:sz w:val="24"/>
        </w:rPr>
        <w:t>V žádosti je chybně kalkulována cena za 1 záznam</w:t>
      </w:r>
      <w:r>
        <w:rPr>
          <w:sz w:val="24"/>
        </w:rPr>
        <w:t>.</w:t>
      </w:r>
    </w:p>
    <w:p w:rsidR="00C100B8" w:rsidRDefault="003B77F7" w:rsidP="00270FDF">
      <w:pPr>
        <w:jc w:val="both"/>
        <w:rPr>
          <w:sz w:val="24"/>
          <w:u w:val="single"/>
        </w:rPr>
      </w:pPr>
      <w:r w:rsidRPr="003B77F7">
        <w:rPr>
          <w:sz w:val="24"/>
        </w:rPr>
        <w:t xml:space="preserve">- projekt č. 8 (ÚDU AV ČR – M. H. Schmid): </w:t>
      </w:r>
      <w:r w:rsidR="000D1427">
        <w:rPr>
          <w:sz w:val="24"/>
        </w:rPr>
        <w:t>B</w:t>
      </w:r>
      <w:r w:rsidRPr="003B77F7">
        <w:rPr>
          <w:sz w:val="24"/>
        </w:rPr>
        <w:t>yl použit neaktuální formulář</w:t>
      </w:r>
      <w:r w:rsidR="000D1427">
        <w:rPr>
          <w:sz w:val="24"/>
        </w:rPr>
        <w:t xml:space="preserve"> žádosti.</w:t>
      </w:r>
    </w:p>
    <w:p w:rsidR="000D1427" w:rsidRDefault="000B0DCA" w:rsidP="000D1427">
      <w:pPr>
        <w:jc w:val="both"/>
        <w:rPr>
          <w:sz w:val="24"/>
        </w:rPr>
      </w:pPr>
      <w:r w:rsidRPr="000D1427">
        <w:rPr>
          <w:sz w:val="24"/>
        </w:rPr>
        <w:t xml:space="preserve">- </w:t>
      </w:r>
      <w:r w:rsidR="00EA22C0" w:rsidRPr="000D1427">
        <w:rPr>
          <w:sz w:val="24"/>
        </w:rPr>
        <w:t xml:space="preserve">projekt č. </w:t>
      </w:r>
      <w:r w:rsidR="00FF1BB4" w:rsidRPr="000D1427">
        <w:rPr>
          <w:sz w:val="24"/>
        </w:rPr>
        <w:t>9</w:t>
      </w:r>
      <w:r w:rsidR="00EA22C0" w:rsidRPr="000D1427">
        <w:rPr>
          <w:sz w:val="24"/>
        </w:rPr>
        <w:t xml:space="preserve"> (ÚDU AV ČR – LP desky):</w:t>
      </w:r>
      <w:r w:rsidR="0074107D" w:rsidRPr="000D1427">
        <w:rPr>
          <w:sz w:val="24"/>
        </w:rPr>
        <w:t xml:space="preserve"> </w:t>
      </w:r>
      <w:r w:rsidR="000D1427">
        <w:rPr>
          <w:sz w:val="24"/>
        </w:rPr>
        <w:t>B</w:t>
      </w:r>
      <w:r w:rsidR="000D1427" w:rsidRPr="000D1427">
        <w:rPr>
          <w:sz w:val="24"/>
        </w:rPr>
        <w:t>yl použit neaktuální formulář žádosti</w:t>
      </w:r>
      <w:r w:rsidR="000D1427">
        <w:rPr>
          <w:sz w:val="24"/>
        </w:rPr>
        <w:t xml:space="preserve">, odkaz na web knihovny </w:t>
      </w:r>
      <w:r w:rsidR="00B21A78">
        <w:rPr>
          <w:sz w:val="24"/>
        </w:rPr>
        <w:t>je ne</w:t>
      </w:r>
      <w:r w:rsidR="000D1427">
        <w:rPr>
          <w:sz w:val="24"/>
        </w:rPr>
        <w:t xml:space="preserve">funkční. Příště doporučujeme posunout </w:t>
      </w:r>
      <w:r w:rsidR="00BB613B">
        <w:rPr>
          <w:sz w:val="24"/>
        </w:rPr>
        <w:t xml:space="preserve">termín </w:t>
      </w:r>
      <w:r w:rsidR="000D1427">
        <w:rPr>
          <w:sz w:val="24"/>
        </w:rPr>
        <w:t xml:space="preserve">zahájení realizace projektu na </w:t>
      </w:r>
      <w:r w:rsidR="00BB613B">
        <w:rPr>
          <w:sz w:val="24"/>
        </w:rPr>
        <w:t>jarní měsíce</w:t>
      </w:r>
      <w:r w:rsidR="000D1427">
        <w:rPr>
          <w:sz w:val="24"/>
        </w:rPr>
        <w:t xml:space="preserve"> vzhledem k termínu poskytování dotace.</w:t>
      </w:r>
    </w:p>
    <w:p w:rsidR="00B21A78" w:rsidRPr="00B21A78" w:rsidRDefault="000D1427" w:rsidP="000D1427">
      <w:pPr>
        <w:jc w:val="both"/>
        <w:rPr>
          <w:sz w:val="24"/>
        </w:rPr>
      </w:pPr>
      <w:r w:rsidRPr="000D1427">
        <w:rPr>
          <w:sz w:val="24"/>
        </w:rPr>
        <w:t xml:space="preserve">- </w:t>
      </w:r>
      <w:r w:rsidRPr="00B21A78">
        <w:rPr>
          <w:sz w:val="24"/>
        </w:rPr>
        <w:t>projekt č. 15 (SVK PK): Byl použit neaktuální formulář žádosti</w:t>
      </w:r>
      <w:r w:rsidR="00B21A78" w:rsidRPr="00B21A78">
        <w:rPr>
          <w:sz w:val="24"/>
        </w:rPr>
        <w:t>, odkaz na web knihovny je nefunkční, p</w:t>
      </w:r>
      <w:r w:rsidRPr="00B21A78">
        <w:rPr>
          <w:sz w:val="24"/>
        </w:rPr>
        <w:t xml:space="preserve">opis projektu nebyl </w:t>
      </w:r>
      <w:r w:rsidR="00B21A78" w:rsidRPr="00B21A78">
        <w:rPr>
          <w:sz w:val="24"/>
        </w:rPr>
        <w:t xml:space="preserve">opakovaně </w:t>
      </w:r>
      <w:r w:rsidRPr="00B21A78">
        <w:rPr>
          <w:sz w:val="24"/>
        </w:rPr>
        <w:t>aktualizován</w:t>
      </w:r>
      <w:r w:rsidR="00B21A78" w:rsidRPr="00B21A78">
        <w:rPr>
          <w:sz w:val="24"/>
        </w:rPr>
        <w:t xml:space="preserve"> (např. je </w:t>
      </w:r>
      <w:r w:rsidRPr="00B21A78">
        <w:rPr>
          <w:sz w:val="24"/>
        </w:rPr>
        <w:t>zmiňována již neexistující Jednotná informační brána</w:t>
      </w:r>
      <w:r w:rsidR="00B21A78" w:rsidRPr="00B21A78">
        <w:rPr>
          <w:sz w:val="24"/>
        </w:rPr>
        <w:t xml:space="preserve">). Žádost na </w:t>
      </w:r>
      <w:r w:rsidR="006E58FC">
        <w:rPr>
          <w:sz w:val="24"/>
        </w:rPr>
        <w:t>příští rok</w:t>
      </w:r>
      <w:r w:rsidR="00B21A78" w:rsidRPr="00B21A78">
        <w:rPr>
          <w:sz w:val="24"/>
        </w:rPr>
        <w:t xml:space="preserve"> musí </w:t>
      </w:r>
      <w:r w:rsidR="006E58FC">
        <w:rPr>
          <w:sz w:val="24"/>
        </w:rPr>
        <w:t>být zpracována</w:t>
      </w:r>
      <w:r w:rsidR="009E7E79">
        <w:rPr>
          <w:sz w:val="24"/>
        </w:rPr>
        <w:t xml:space="preserve"> pečlivěji</w:t>
      </w:r>
      <w:r w:rsidR="00B21A78" w:rsidRPr="00B21A78">
        <w:rPr>
          <w:sz w:val="24"/>
        </w:rPr>
        <w:t>, jinak dotace nebude poskytnuta.</w:t>
      </w:r>
    </w:p>
    <w:p w:rsidR="00B21A78" w:rsidRPr="00C100B8" w:rsidRDefault="00DB29B2" w:rsidP="00B21A78">
      <w:pPr>
        <w:jc w:val="both"/>
        <w:rPr>
          <w:sz w:val="24"/>
        </w:rPr>
      </w:pPr>
      <w:r w:rsidRPr="00B21A78">
        <w:rPr>
          <w:sz w:val="24"/>
        </w:rPr>
        <w:t>-</w:t>
      </w:r>
      <w:r w:rsidR="00B21A78">
        <w:rPr>
          <w:sz w:val="24"/>
        </w:rPr>
        <w:t xml:space="preserve"> projekt</w:t>
      </w:r>
      <w:r w:rsidRPr="00B21A78">
        <w:rPr>
          <w:sz w:val="24"/>
        </w:rPr>
        <w:t xml:space="preserve"> č. </w:t>
      </w:r>
      <w:r w:rsidR="00B21A78" w:rsidRPr="00B21A78">
        <w:rPr>
          <w:sz w:val="24"/>
        </w:rPr>
        <w:t>17</w:t>
      </w:r>
      <w:r w:rsidRPr="00B21A78">
        <w:rPr>
          <w:sz w:val="24"/>
        </w:rPr>
        <w:t xml:space="preserve"> (Orientální ústav AV ČR): </w:t>
      </w:r>
      <w:r w:rsidR="00B21A78" w:rsidRPr="00B21A78">
        <w:rPr>
          <w:sz w:val="24"/>
        </w:rPr>
        <w:t>V žádosti je chybně kalkulována cena za 1 záznam.</w:t>
      </w: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pStyle w:val="Zkladntext"/>
        <w:rPr>
          <w:u w:val="single"/>
        </w:rPr>
      </w:pPr>
      <w:r>
        <w:rPr>
          <w:u w:val="single"/>
        </w:rPr>
        <w:t>Podmínka do rozhodnutí o poskytnutí dotace:</w:t>
      </w:r>
    </w:p>
    <w:p w:rsidR="00C363E3" w:rsidRDefault="00C363E3" w:rsidP="00C363E3">
      <w:pPr>
        <w:pStyle w:val="Zkladntext"/>
        <w:rPr>
          <w:b/>
          <w:bCs/>
          <w:i/>
          <w:iCs/>
        </w:rPr>
      </w:pPr>
      <w:r>
        <w:rPr>
          <w:b/>
          <w:bCs/>
          <w:i/>
          <w:iCs/>
        </w:rPr>
        <w:t xml:space="preserve">Příjemce dotace se zavazuje dodat výsledné záznamy do Souborného katalogu ČR </w:t>
      </w:r>
      <w:r>
        <w:rPr>
          <w:b/>
          <w:bCs/>
          <w:i/>
          <w:iCs/>
          <w:u w:val="single"/>
        </w:rPr>
        <w:t>do 31. 12. 2024</w:t>
      </w:r>
      <w:r>
        <w:rPr>
          <w:b/>
          <w:bCs/>
          <w:i/>
          <w:iCs/>
        </w:rPr>
        <w:t>.</w:t>
      </w:r>
    </w:p>
    <w:p w:rsidR="00722026" w:rsidRDefault="00722026">
      <w:pPr>
        <w:pStyle w:val="Zkladntext"/>
      </w:pPr>
    </w:p>
    <w:p w:rsidR="00722026" w:rsidRPr="00A514D6" w:rsidRDefault="00722026">
      <w:pPr>
        <w:rPr>
          <w:sz w:val="24"/>
          <w:szCs w:val="24"/>
        </w:rPr>
      </w:pPr>
    </w:p>
    <w:p w:rsidR="00722026" w:rsidRDefault="00270FDF">
      <w:pPr>
        <w:pStyle w:val="Nadpis1"/>
      </w:pPr>
      <w:r>
        <w:t>6</w:t>
      </w:r>
      <w:r w:rsidR="00644217" w:rsidRPr="00C53038">
        <w:t>. Závěr – přidělení finančních prostředků: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Celkem bylo přihlášeno a komisi předloženo k hodnocení </w:t>
      </w:r>
      <w:r w:rsidR="00376DEC" w:rsidRPr="00753F56">
        <w:rPr>
          <w:b/>
          <w:bCs/>
          <w:sz w:val="24"/>
        </w:rPr>
        <w:t>1</w:t>
      </w:r>
      <w:r w:rsidR="000925FA">
        <w:rPr>
          <w:b/>
          <w:bCs/>
          <w:sz w:val="24"/>
        </w:rPr>
        <w:t>7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 xml:space="preserve">. Souhrn veškerých finančních požadavků činil </w:t>
      </w:r>
      <w:r w:rsidR="00E120D6">
        <w:rPr>
          <w:b/>
          <w:bCs/>
          <w:sz w:val="24"/>
        </w:rPr>
        <w:t xml:space="preserve">2 </w:t>
      </w:r>
      <w:r w:rsidR="003F1EB9">
        <w:rPr>
          <w:b/>
          <w:bCs/>
          <w:sz w:val="24"/>
        </w:rPr>
        <w:t>895</w:t>
      </w:r>
      <w:r w:rsidRPr="00753F56">
        <w:rPr>
          <w:b/>
          <w:bCs/>
          <w:sz w:val="24"/>
        </w:rPr>
        <w:t xml:space="preserve"> 000 Kč</w:t>
      </w:r>
      <w:r w:rsidRPr="00753F56">
        <w:rPr>
          <w:sz w:val="24"/>
        </w:rPr>
        <w:t>.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Komise doporučila k finanční podpoře MK </w:t>
      </w:r>
      <w:r w:rsidR="00376DEC" w:rsidRPr="00753F56">
        <w:rPr>
          <w:b/>
          <w:bCs/>
          <w:sz w:val="24"/>
        </w:rPr>
        <w:t>1</w:t>
      </w:r>
      <w:r w:rsidR="00E120D6">
        <w:rPr>
          <w:b/>
          <w:bCs/>
          <w:sz w:val="24"/>
        </w:rPr>
        <w:t>5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>. Celkem bylo rozděleno</w:t>
      </w:r>
      <w:r w:rsidR="00D87B33">
        <w:rPr>
          <w:b/>
          <w:sz w:val="24"/>
        </w:rPr>
        <w:t xml:space="preserve"> </w:t>
      </w:r>
      <w:r w:rsidR="00D87B33">
        <w:rPr>
          <w:b/>
          <w:sz w:val="24"/>
        </w:rPr>
        <w:br/>
      </w:r>
      <w:r w:rsidR="003F1EB9">
        <w:rPr>
          <w:b/>
          <w:sz w:val="24"/>
        </w:rPr>
        <w:t>2 003</w:t>
      </w:r>
      <w:r w:rsidRPr="00753F56">
        <w:rPr>
          <w:b/>
          <w:sz w:val="24"/>
        </w:rPr>
        <w:t xml:space="preserve"> 000 Kč </w:t>
      </w:r>
      <w:r w:rsidRPr="00753F56">
        <w:rPr>
          <w:sz w:val="24"/>
        </w:rPr>
        <w:t>neinvestičních prostředků. Výsledky ukazuje přiložená tabulka.</w:t>
      </w:r>
    </w:p>
    <w:p w:rsidR="00B53673" w:rsidRPr="00753F56" w:rsidRDefault="00B53673">
      <w:pPr>
        <w:ind w:left="283" w:hanging="283"/>
        <w:jc w:val="both"/>
        <w:rPr>
          <w:sz w:val="24"/>
        </w:rPr>
      </w:pPr>
      <w:bookmarkStart w:id="0" w:name="_GoBack"/>
      <w:bookmarkEnd w:id="0"/>
    </w:p>
    <w:p w:rsidR="00722026" w:rsidRPr="00753F56" w:rsidRDefault="00644217">
      <w:pPr>
        <w:ind w:left="283" w:hanging="283"/>
        <w:jc w:val="both"/>
        <w:rPr>
          <w:sz w:val="24"/>
        </w:rPr>
      </w:pPr>
      <w:r w:rsidRPr="00753F56">
        <w:rPr>
          <w:sz w:val="24"/>
        </w:rPr>
        <w:t>Zapsala: Mgr. Petra Miturová,</w:t>
      </w:r>
    </w:p>
    <w:p w:rsidR="00722026" w:rsidRDefault="00644217">
      <w:pPr>
        <w:ind w:left="283" w:hanging="283"/>
        <w:jc w:val="both"/>
        <w:rPr>
          <w:sz w:val="24"/>
        </w:rPr>
      </w:pPr>
      <w:r w:rsidRPr="00753F56">
        <w:rPr>
          <w:sz w:val="24"/>
        </w:rPr>
        <w:tab/>
      </w:r>
      <w:r w:rsidRPr="00753F56">
        <w:rPr>
          <w:sz w:val="24"/>
        </w:rPr>
        <w:tab/>
        <w:t xml:space="preserve">   tajemnice</w:t>
      </w:r>
    </w:p>
    <w:p w:rsidR="00722026" w:rsidRDefault="0064421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E120D6">
        <w:rPr>
          <w:sz w:val="24"/>
        </w:rPr>
        <w:t>7</w:t>
      </w:r>
      <w:r w:rsidR="00D87B33">
        <w:rPr>
          <w:sz w:val="24"/>
        </w:rPr>
        <w:t xml:space="preserve">. </w:t>
      </w:r>
      <w:r w:rsidR="00E120D6">
        <w:rPr>
          <w:sz w:val="24"/>
        </w:rPr>
        <w:t>2</w:t>
      </w:r>
      <w:r w:rsidR="00D87B33">
        <w:rPr>
          <w:sz w:val="24"/>
        </w:rPr>
        <w:t>. 202</w:t>
      </w:r>
      <w:r w:rsidR="00E120D6">
        <w:rPr>
          <w:sz w:val="24"/>
        </w:rPr>
        <w:t>3</w:t>
      </w:r>
    </w:p>
    <w:p w:rsidR="00722026" w:rsidRDefault="00722026">
      <w:pPr>
        <w:ind w:left="283" w:hanging="283"/>
        <w:jc w:val="both"/>
        <w:rPr>
          <w:sz w:val="24"/>
        </w:rPr>
      </w:pPr>
    </w:p>
    <w:p w:rsidR="00C363E3" w:rsidRDefault="00C363E3">
      <w:pPr>
        <w:ind w:left="283" w:hanging="283"/>
        <w:jc w:val="both"/>
        <w:rPr>
          <w:sz w:val="24"/>
        </w:rPr>
      </w:pPr>
    </w:p>
    <w:p w:rsidR="00722026" w:rsidRDefault="00D87B33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E120D6">
        <w:rPr>
          <w:sz w:val="24"/>
        </w:rPr>
        <w:t>a</w:t>
      </w:r>
      <w:r>
        <w:rPr>
          <w:sz w:val="24"/>
        </w:rPr>
        <w:t xml:space="preserve">: </w:t>
      </w:r>
      <w:r w:rsidR="009454E3">
        <w:rPr>
          <w:sz w:val="24"/>
        </w:rPr>
        <w:t>Mgr. Dominika Vodáková</w:t>
      </w:r>
      <w:r w:rsidR="00644217">
        <w:rPr>
          <w:sz w:val="24"/>
        </w:rPr>
        <w:t>,</w:t>
      </w:r>
    </w:p>
    <w:p w:rsidR="00722026" w:rsidRDefault="00D87B33">
      <w:pPr>
        <w:ind w:left="283" w:hanging="283"/>
        <w:jc w:val="both"/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E120D6">
        <w:rPr>
          <w:sz w:val="24"/>
        </w:rPr>
        <w:t xml:space="preserve">  </w:t>
      </w:r>
      <w:r>
        <w:rPr>
          <w:sz w:val="24"/>
        </w:rPr>
        <w:t>předsed</w:t>
      </w:r>
      <w:r w:rsidR="00E120D6">
        <w:rPr>
          <w:sz w:val="24"/>
        </w:rPr>
        <w:t>kyně</w:t>
      </w:r>
      <w:r w:rsidR="00644217">
        <w:rPr>
          <w:sz w:val="24"/>
        </w:rPr>
        <w:t xml:space="preserve"> komise</w:t>
      </w:r>
    </w:p>
    <w:sectPr w:rsidR="00722026" w:rsidSect="00C363E3">
      <w:pgSz w:w="11906" w:h="16838"/>
      <w:pgMar w:top="1276" w:right="1417" w:bottom="1276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4DB" w:rsidRDefault="003C04DB" w:rsidP="00B650FD">
      <w:r>
        <w:separator/>
      </w:r>
    </w:p>
  </w:endnote>
  <w:endnote w:type="continuationSeparator" w:id="0">
    <w:p w:rsidR="003C04DB" w:rsidRDefault="003C04DB" w:rsidP="00B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4DB" w:rsidRDefault="003C04DB" w:rsidP="00B650FD">
      <w:r>
        <w:separator/>
      </w:r>
    </w:p>
  </w:footnote>
  <w:footnote w:type="continuationSeparator" w:id="0">
    <w:p w:rsidR="003C04DB" w:rsidRDefault="003C04DB" w:rsidP="00B650FD">
      <w:r>
        <w:continuationSeparator/>
      </w:r>
    </w:p>
  </w:footnote>
  <w:footnote w:id="1">
    <w:p w:rsidR="00B650FD" w:rsidRDefault="00B650FD">
      <w:pPr>
        <w:pStyle w:val="Textpoznpodarou"/>
      </w:pPr>
      <w:r>
        <w:rPr>
          <w:rStyle w:val="Znakapoznpodarou"/>
        </w:rPr>
        <w:footnoteRef/>
      </w:r>
      <w:r>
        <w:t xml:space="preserve"> V údaji nejsou zahrnuty záznamy vytvořené knihovnami příspěvkových organizací Ministerstva kultury.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93E"/>
    <w:multiLevelType w:val="multilevel"/>
    <w:tmpl w:val="95043B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CE513FB"/>
    <w:multiLevelType w:val="multilevel"/>
    <w:tmpl w:val="4FBEB8C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26"/>
    <w:rsid w:val="000143FE"/>
    <w:rsid w:val="00021280"/>
    <w:rsid w:val="00035CAA"/>
    <w:rsid w:val="000677E4"/>
    <w:rsid w:val="000925FA"/>
    <w:rsid w:val="000B0DCA"/>
    <w:rsid w:val="000D1427"/>
    <w:rsid w:val="000E6781"/>
    <w:rsid w:val="0011059D"/>
    <w:rsid w:val="00166EEF"/>
    <w:rsid w:val="00191FA9"/>
    <w:rsid w:val="001B4301"/>
    <w:rsid w:val="001B6173"/>
    <w:rsid w:val="001D150B"/>
    <w:rsid w:val="001E3E32"/>
    <w:rsid w:val="00204AE5"/>
    <w:rsid w:val="0021632D"/>
    <w:rsid w:val="00227735"/>
    <w:rsid w:val="00236242"/>
    <w:rsid w:val="0024015D"/>
    <w:rsid w:val="00241399"/>
    <w:rsid w:val="0025238B"/>
    <w:rsid w:val="00270FDF"/>
    <w:rsid w:val="00273533"/>
    <w:rsid w:val="00281172"/>
    <w:rsid w:val="00284A41"/>
    <w:rsid w:val="0029531E"/>
    <w:rsid w:val="002A6A05"/>
    <w:rsid w:val="002B6421"/>
    <w:rsid w:val="002D1807"/>
    <w:rsid w:val="002E1AAD"/>
    <w:rsid w:val="002E6758"/>
    <w:rsid w:val="002F72A0"/>
    <w:rsid w:val="003272EB"/>
    <w:rsid w:val="003420B3"/>
    <w:rsid w:val="00363542"/>
    <w:rsid w:val="00365BD4"/>
    <w:rsid w:val="00376DEC"/>
    <w:rsid w:val="0037726F"/>
    <w:rsid w:val="003858D5"/>
    <w:rsid w:val="003A2D94"/>
    <w:rsid w:val="003A2E38"/>
    <w:rsid w:val="003B0D07"/>
    <w:rsid w:val="003B77F7"/>
    <w:rsid w:val="003C04DB"/>
    <w:rsid w:val="003C1C2C"/>
    <w:rsid w:val="003C3C37"/>
    <w:rsid w:val="003C3E6B"/>
    <w:rsid w:val="003D6EC4"/>
    <w:rsid w:val="003F1EB9"/>
    <w:rsid w:val="0040513F"/>
    <w:rsid w:val="0044207D"/>
    <w:rsid w:val="004675C0"/>
    <w:rsid w:val="004745E2"/>
    <w:rsid w:val="004A1F7A"/>
    <w:rsid w:val="004F152F"/>
    <w:rsid w:val="00504A25"/>
    <w:rsid w:val="00535F9F"/>
    <w:rsid w:val="00546459"/>
    <w:rsid w:val="005503FB"/>
    <w:rsid w:val="00561958"/>
    <w:rsid w:val="00576DF9"/>
    <w:rsid w:val="005B37FC"/>
    <w:rsid w:val="005D7D38"/>
    <w:rsid w:val="00611C0B"/>
    <w:rsid w:val="00640458"/>
    <w:rsid w:val="00644217"/>
    <w:rsid w:val="006760EB"/>
    <w:rsid w:val="00690795"/>
    <w:rsid w:val="006B1583"/>
    <w:rsid w:val="006E58FC"/>
    <w:rsid w:val="006F7887"/>
    <w:rsid w:val="00722026"/>
    <w:rsid w:val="00734499"/>
    <w:rsid w:val="0074107D"/>
    <w:rsid w:val="00742976"/>
    <w:rsid w:val="007436C1"/>
    <w:rsid w:val="00746F77"/>
    <w:rsid w:val="00753F56"/>
    <w:rsid w:val="00755743"/>
    <w:rsid w:val="007C248B"/>
    <w:rsid w:val="007D0F36"/>
    <w:rsid w:val="007D4C49"/>
    <w:rsid w:val="007D7CC7"/>
    <w:rsid w:val="007E19BD"/>
    <w:rsid w:val="0081367F"/>
    <w:rsid w:val="008155CA"/>
    <w:rsid w:val="00853F1A"/>
    <w:rsid w:val="00876730"/>
    <w:rsid w:val="008957B2"/>
    <w:rsid w:val="008B6D84"/>
    <w:rsid w:val="009176FD"/>
    <w:rsid w:val="009454E3"/>
    <w:rsid w:val="00957372"/>
    <w:rsid w:val="0097439A"/>
    <w:rsid w:val="009C47A7"/>
    <w:rsid w:val="009E7E79"/>
    <w:rsid w:val="00A40553"/>
    <w:rsid w:val="00A46CF9"/>
    <w:rsid w:val="00A514D6"/>
    <w:rsid w:val="00A51A4B"/>
    <w:rsid w:val="00A9063F"/>
    <w:rsid w:val="00A91D16"/>
    <w:rsid w:val="00AB45FD"/>
    <w:rsid w:val="00AD5813"/>
    <w:rsid w:val="00AF33E7"/>
    <w:rsid w:val="00B0472B"/>
    <w:rsid w:val="00B21A78"/>
    <w:rsid w:val="00B252BF"/>
    <w:rsid w:val="00B52BE9"/>
    <w:rsid w:val="00B53673"/>
    <w:rsid w:val="00B64F81"/>
    <w:rsid w:val="00B650FD"/>
    <w:rsid w:val="00B83F73"/>
    <w:rsid w:val="00B87F95"/>
    <w:rsid w:val="00BB613B"/>
    <w:rsid w:val="00BC1395"/>
    <w:rsid w:val="00BF669D"/>
    <w:rsid w:val="00C06468"/>
    <w:rsid w:val="00C100B8"/>
    <w:rsid w:val="00C224B1"/>
    <w:rsid w:val="00C363E3"/>
    <w:rsid w:val="00C53038"/>
    <w:rsid w:val="00C71442"/>
    <w:rsid w:val="00C870FD"/>
    <w:rsid w:val="00C92412"/>
    <w:rsid w:val="00CC3E86"/>
    <w:rsid w:val="00CF6CD0"/>
    <w:rsid w:val="00D01646"/>
    <w:rsid w:val="00D13378"/>
    <w:rsid w:val="00D21513"/>
    <w:rsid w:val="00D24C4E"/>
    <w:rsid w:val="00D61C87"/>
    <w:rsid w:val="00D87B33"/>
    <w:rsid w:val="00DA005E"/>
    <w:rsid w:val="00DB29B2"/>
    <w:rsid w:val="00DD6BCA"/>
    <w:rsid w:val="00DF066E"/>
    <w:rsid w:val="00E10560"/>
    <w:rsid w:val="00E1123E"/>
    <w:rsid w:val="00E120D6"/>
    <w:rsid w:val="00E22104"/>
    <w:rsid w:val="00E51947"/>
    <w:rsid w:val="00E70889"/>
    <w:rsid w:val="00E83110"/>
    <w:rsid w:val="00EA22C0"/>
    <w:rsid w:val="00EC30F7"/>
    <w:rsid w:val="00EE46F4"/>
    <w:rsid w:val="00EE7550"/>
    <w:rsid w:val="00F13F75"/>
    <w:rsid w:val="00F37F89"/>
    <w:rsid w:val="00F93557"/>
    <w:rsid w:val="00FA4716"/>
    <w:rsid w:val="00FA568D"/>
    <w:rsid w:val="00FF1BB4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4EE37"/>
  <w14:defaultImageDpi w14:val="0"/>
  <w15:docId w15:val="{97782CB7-B2C7-4DF0-B48E-8063E40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B650FD"/>
  </w:style>
  <w:style w:type="character" w:customStyle="1" w:styleId="TextpoznpodarouChar">
    <w:name w:val="Text pozn. pod čarou Char"/>
    <w:basedOn w:val="Standardnpsmoodstavce"/>
    <w:link w:val="Textpoznpodarou"/>
    <w:semiHidden/>
    <w:rsid w:val="00B650FD"/>
  </w:style>
  <w:style w:type="character" w:styleId="Znakapoznpodarou">
    <w:name w:val="footnote reference"/>
    <w:basedOn w:val="Standardnpsmoodstavce"/>
    <w:semiHidden/>
    <w:unhideWhenUsed/>
    <w:rsid w:val="00B650FD"/>
    <w:rPr>
      <w:vertAlign w:val="superscript"/>
    </w:rPr>
  </w:style>
  <w:style w:type="paragraph" w:customStyle="1" w:styleId="Default">
    <w:name w:val="Default"/>
    <w:rsid w:val="00E120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E120D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439B-B3EA-4836-820E-59787E9A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3</cp:revision>
  <cp:lastPrinted>2023-02-17T14:19:00Z</cp:lastPrinted>
  <dcterms:created xsi:type="dcterms:W3CDTF">2024-02-07T21:06:00Z</dcterms:created>
  <dcterms:modified xsi:type="dcterms:W3CDTF">2024-02-08T12:02:00Z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