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4E59" w14:textId="77777777"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14:paraId="03AB771D" w14:textId="77777777"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14:paraId="640551A6" w14:textId="4DA1D56C"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DE0B4C">
        <w:rPr>
          <w:sz w:val="32"/>
          <w:szCs w:val="32"/>
        </w:rPr>
        <w:t>13. února</w:t>
      </w:r>
      <w:r w:rsidR="00103A50">
        <w:rPr>
          <w:sz w:val="32"/>
          <w:szCs w:val="32"/>
        </w:rPr>
        <w:t xml:space="preserve"> 202</w:t>
      </w:r>
      <w:r w:rsidR="00DE0B4C">
        <w:rPr>
          <w:sz w:val="32"/>
          <w:szCs w:val="32"/>
        </w:rPr>
        <w:t>5</w:t>
      </w:r>
    </w:p>
    <w:p w14:paraId="3B1A3D66" w14:textId="77777777" w:rsidR="00304FF3" w:rsidRDefault="00304FF3">
      <w:pPr>
        <w:jc w:val="center"/>
        <w:rPr>
          <w:b/>
          <w:sz w:val="24"/>
        </w:rPr>
      </w:pPr>
    </w:p>
    <w:p w14:paraId="78B241B3" w14:textId="201D4BBA" w:rsidR="00986905" w:rsidRDefault="00304FF3">
      <w:pPr>
        <w:jc w:val="both"/>
        <w:rPr>
          <w:b/>
          <w:sz w:val="24"/>
        </w:rPr>
      </w:pPr>
      <w:r>
        <w:rPr>
          <w:b/>
          <w:sz w:val="24"/>
        </w:rPr>
        <w:t xml:space="preserve">Přítomni: </w:t>
      </w:r>
    </w:p>
    <w:p w14:paraId="761AB6F3" w14:textId="63324341" w:rsidR="00DE0B4C" w:rsidRPr="000F4483" w:rsidRDefault="00DE0B4C" w:rsidP="00DE0B4C">
      <w:pPr>
        <w:tabs>
          <w:tab w:val="left" w:pos="2905"/>
        </w:tabs>
        <w:rPr>
          <w:bCs/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Mgr. Roman Giebisch, Ph.D. (</w:t>
      </w:r>
      <w:r w:rsidRPr="000F4483">
        <w:rPr>
          <w:color w:val="000000"/>
          <w:sz w:val="24"/>
          <w:szCs w:val="24"/>
        </w:rPr>
        <w:t>Národní knihovna České republiky, Knihovnický institut)</w:t>
      </w:r>
    </w:p>
    <w:p w14:paraId="18D3630E" w14:textId="5F53B122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Bc. Radka Havlicová (</w:t>
      </w:r>
      <w:r w:rsidRPr="000F4483">
        <w:rPr>
          <w:color w:val="000000"/>
          <w:sz w:val="24"/>
          <w:szCs w:val="24"/>
        </w:rPr>
        <w:t>Knihovna Ústeckého kraje, příspěvková organizace</w:t>
      </w:r>
      <w:r w:rsidR="000F4483">
        <w:rPr>
          <w:color w:val="000000"/>
          <w:sz w:val="24"/>
          <w:szCs w:val="24"/>
        </w:rPr>
        <w:t>, online</w:t>
      </w:r>
      <w:r w:rsidRPr="000F4483">
        <w:rPr>
          <w:color w:val="000000"/>
          <w:sz w:val="24"/>
          <w:szCs w:val="24"/>
        </w:rPr>
        <w:t>)</w:t>
      </w:r>
    </w:p>
    <w:p w14:paraId="008BBFF8" w14:textId="5B8CF6A2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PhDr. Hana Landová, Ph.D. (</w:t>
      </w:r>
      <w:r w:rsidRPr="000F4483">
        <w:rPr>
          <w:color w:val="000000"/>
          <w:sz w:val="24"/>
          <w:szCs w:val="24"/>
        </w:rPr>
        <w:t>Knihovna České zemědělské univerzity v Praze</w:t>
      </w:r>
      <w:r w:rsidR="000F4483">
        <w:rPr>
          <w:color w:val="000000"/>
          <w:sz w:val="24"/>
          <w:szCs w:val="24"/>
        </w:rPr>
        <w:t>, online</w:t>
      </w:r>
      <w:r w:rsidRPr="000F4483">
        <w:rPr>
          <w:color w:val="000000"/>
          <w:sz w:val="24"/>
          <w:szCs w:val="24"/>
        </w:rPr>
        <w:t>)</w:t>
      </w:r>
    </w:p>
    <w:p w14:paraId="0C504332" w14:textId="49DE9877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Mgr. et Bc. Agnieszka Lamr (</w:t>
      </w:r>
      <w:r w:rsidRPr="000F4483">
        <w:rPr>
          <w:color w:val="000000"/>
          <w:sz w:val="24"/>
          <w:szCs w:val="24"/>
        </w:rPr>
        <w:t>Studijní a vědecká knihovna v Hradci Králové</w:t>
      </w:r>
      <w:r w:rsidR="000F4483">
        <w:rPr>
          <w:color w:val="000000"/>
          <w:sz w:val="24"/>
          <w:szCs w:val="24"/>
        </w:rPr>
        <w:t>, online</w:t>
      </w:r>
      <w:r w:rsidRPr="000F4483">
        <w:rPr>
          <w:color w:val="000000"/>
          <w:sz w:val="24"/>
          <w:szCs w:val="24"/>
        </w:rPr>
        <w:t>)</w:t>
      </w:r>
    </w:p>
    <w:p w14:paraId="7E2E8E2F" w14:textId="7B8BF17B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Mgr. Olga Macháčková (</w:t>
      </w:r>
      <w:r w:rsidRPr="000F4483">
        <w:rPr>
          <w:color w:val="000000"/>
          <w:sz w:val="24"/>
          <w:szCs w:val="24"/>
        </w:rPr>
        <w:t>Vědecká knihovna v Olomouci</w:t>
      </w:r>
      <w:r w:rsidR="000F4483">
        <w:rPr>
          <w:color w:val="000000"/>
          <w:sz w:val="24"/>
          <w:szCs w:val="24"/>
        </w:rPr>
        <w:t>, online</w:t>
      </w:r>
      <w:r w:rsidRPr="000F4483">
        <w:rPr>
          <w:color w:val="000000"/>
          <w:sz w:val="24"/>
          <w:szCs w:val="24"/>
        </w:rPr>
        <w:t>)</w:t>
      </w:r>
    </w:p>
    <w:p w14:paraId="5B118F2E" w14:textId="141F5607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Mgr. Michaela Mrázová (</w:t>
      </w:r>
      <w:r w:rsidRPr="000F4483">
        <w:rPr>
          <w:color w:val="000000"/>
          <w:sz w:val="24"/>
          <w:szCs w:val="24"/>
        </w:rPr>
        <w:t>Národní knihovna České republiky, Knihovnický institut)</w:t>
      </w:r>
    </w:p>
    <w:p w14:paraId="4BAEC1BC" w14:textId="42BBFD3C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 xml:space="preserve">Bc. Eva </w:t>
      </w:r>
      <w:proofErr w:type="spellStart"/>
      <w:r w:rsidRPr="000F4483">
        <w:rPr>
          <w:bCs/>
          <w:color w:val="000000"/>
          <w:sz w:val="24"/>
          <w:szCs w:val="24"/>
        </w:rPr>
        <w:t>Šenfeldová</w:t>
      </w:r>
      <w:proofErr w:type="spellEnd"/>
      <w:r w:rsidRPr="000F4483">
        <w:rPr>
          <w:bCs/>
          <w:color w:val="000000"/>
          <w:sz w:val="24"/>
          <w:szCs w:val="24"/>
        </w:rPr>
        <w:t xml:space="preserve"> (</w:t>
      </w:r>
      <w:r w:rsidRPr="000F4483">
        <w:rPr>
          <w:color w:val="000000"/>
          <w:sz w:val="24"/>
          <w:szCs w:val="24"/>
        </w:rPr>
        <w:t>Středočeská vědecká knihovna v Kladně, příspěvková organizace</w:t>
      </w:r>
      <w:r w:rsidR="000F4483">
        <w:rPr>
          <w:color w:val="000000"/>
          <w:sz w:val="24"/>
          <w:szCs w:val="24"/>
        </w:rPr>
        <w:t>, online</w:t>
      </w:r>
      <w:r w:rsidRPr="000F4483">
        <w:rPr>
          <w:color w:val="000000"/>
          <w:sz w:val="24"/>
          <w:szCs w:val="24"/>
        </w:rPr>
        <w:t>)</w:t>
      </w:r>
    </w:p>
    <w:p w14:paraId="0A4B23F7" w14:textId="40EEC2E2" w:rsidR="00DE0B4C" w:rsidRPr="000F4483" w:rsidRDefault="00DE0B4C" w:rsidP="00DE0B4C">
      <w:pPr>
        <w:tabs>
          <w:tab w:val="left" w:pos="2905"/>
        </w:tabs>
        <w:rPr>
          <w:color w:val="000000"/>
          <w:sz w:val="24"/>
          <w:szCs w:val="24"/>
        </w:rPr>
      </w:pPr>
      <w:r w:rsidRPr="000F4483">
        <w:rPr>
          <w:bCs/>
          <w:color w:val="000000"/>
          <w:sz w:val="24"/>
          <w:szCs w:val="24"/>
        </w:rPr>
        <w:t>Ing. Jana Tomancová (</w:t>
      </w:r>
      <w:r w:rsidRPr="000F4483">
        <w:rPr>
          <w:color w:val="000000"/>
          <w:sz w:val="24"/>
          <w:szCs w:val="24"/>
        </w:rPr>
        <w:t>Krajská knihovna Františka Bartoše ve Zlíně, příspěvková organizace</w:t>
      </w:r>
      <w:r w:rsidR="000F4483">
        <w:rPr>
          <w:color w:val="000000"/>
          <w:sz w:val="24"/>
          <w:szCs w:val="24"/>
        </w:rPr>
        <w:t>, online</w:t>
      </w:r>
      <w:r w:rsidRPr="000F4483">
        <w:rPr>
          <w:color w:val="000000"/>
          <w:sz w:val="24"/>
          <w:szCs w:val="24"/>
        </w:rPr>
        <w:t>)</w:t>
      </w:r>
      <w:r w:rsidR="0054781C" w:rsidRPr="000F4483">
        <w:rPr>
          <w:color w:val="000000"/>
          <w:sz w:val="24"/>
          <w:szCs w:val="24"/>
        </w:rPr>
        <w:t xml:space="preserve"> </w:t>
      </w:r>
    </w:p>
    <w:p w14:paraId="3F4CF3B2" w14:textId="7B12BBBF" w:rsidR="00304FF3" w:rsidRPr="000F2D02" w:rsidRDefault="00304FF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D6B79F6" w14:textId="77777777" w:rsidR="002D43D0" w:rsidRDefault="002D43D0">
      <w:pPr>
        <w:jc w:val="both"/>
        <w:rPr>
          <w:sz w:val="24"/>
        </w:rPr>
      </w:pPr>
    </w:p>
    <w:p w14:paraId="24A7D141" w14:textId="77777777"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9D2A3C">
        <w:rPr>
          <w:b/>
          <w:sz w:val="24"/>
        </w:rPr>
        <w:t xml:space="preserve"> a volba předsednictva:</w:t>
      </w:r>
    </w:p>
    <w:p w14:paraId="55137923" w14:textId="424C0D0D" w:rsidR="00304FF3" w:rsidRPr="000F4483" w:rsidRDefault="001163E2" w:rsidP="002F035D">
      <w:pPr>
        <w:jc w:val="both"/>
        <w:rPr>
          <w:sz w:val="24"/>
          <w:szCs w:val="24"/>
        </w:rPr>
      </w:pPr>
      <w:r w:rsidRPr="000F4483">
        <w:rPr>
          <w:sz w:val="24"/>
          <w:szCs w:val="24"/>
        </w:rPr>
        <w:t>Jednání</w:t>
      </w:r>
      <w:r w:rsidR="000F4483" w:rsidRPr="000F4483">
        <w:rPr>
          <w:sz w:val="24"/>
          <w:szCs w:val="24"/>
        </w:rPr>
        <w:t xml:space="preserve"> </w:t>
      </w:r>
      <w:r w:rsidRPr="000F4483">
        <w:rPr>
          <w:sz w:val="24"/>
          <w:szCs w:val="24"/>
        </w:rPr>
        <w:t xml:space="preserve">zahájila Mgr. </w:t>
      </w:r>
      <w:r w:rsidR="000F4483" w:rsidRPr="000F4483">
        <w:rPr>
          <w:sz w:val="24"/>
          <w:szCs w:val="24"/>
        </w:rPr>
        <w:t>Pavlína Doležalová</w:t>
      </w:r>
      <w:r w:rsidRPr="000F4483">
        <w:rPr>
          <w:sz w:val="24"/>
          <w:szCs w:val="24"/>
        </w:rPr>
        <w:t xml:space="preserve"> (tajemnice).</w:t>
      </w:r>
      <w:r w:rsidR="003F42AC" w:rsidRPr="000F4483">
        <w:rPr>
          <w:sz w:val="24"/>
          <w:szCs w:val="24"/>
        </w:rPr>
        <w:t xml:space="preserve"> </w:t>
      </w:r>
      <w:r w:rsidR="00795AA9" w:rsidRPr="000F4483">
        <w:rPr>
          <w:sz w:val="24"/>
          <w:szCs w:val="24"/>
        </w:rPr>
        <w:t>No</w:t>
      </w:r>
      <w:r w:rsidR="000F391B" w:rsidRPr="000F4483">
        <w:rPr>
          <w:sz w:val="24"/>
          <w:szCs w:val="24"/>
        </w:rPr>
        <w:t>vými členkami komise od r. 202</w:t>
      </w:r>
      <w:r w:rsidR="00DE0B4C" w:rsidRPr="000F4483">
        <w:rPr>
          <w:sz w:val="24"/>
          <w:szCs w:val="24"/>
        </w:rPr>
        <w:t>5</w:t>
      </w:r>
      <w:r w:rsidR="000F391B" w:rsidRPr="000F4483">
        <w:rPr>
          <w:sz w:val="24"/>
          <w:szCs w:val="24"/>
        </w:rPr>
        <w:t xml:space="preserve"> jsou </w:t>
      </w:r>
      <w:r w:rsidR="00DE0B4C" w:rsidRPr="000F4483">
        <w:rPr>
          <w:bCs/>
          <w:color w:val="000000"/>
          <w:sz w:val="24"/>
          <w:szCs w:val="24"/>
        </w:rPr>
        <w:t>Mgr. et Bc. Agnieszka Lamr, Mgr. Olga Macháčková a Mgr. Michaela Mrázová</w:t>
      </w:r>
      <w:r w:rsidR="00C32939" w:rsidRPr="000F4483">
        <w:rPr>
          <w:sz w:val="24"/>
          <w:szCs w:val="24"/>
        </w:rPr>
        <w:t xml:space="preserve">. </w:t>
      </w:r>
      <w:r w:rsidR="00795AA9" w:rsidRPr="000F4483">
        <w:rPr>
          <w:sz w:val="24"/>
          <w:szCs w:val="24"/>
        </w:rPr>
        <w:t>Předsed</w:t>
      </w:r>
      <w:r w:rsidR="000F391B" w:rsidRPr="000F4483">
        <w:rPr>
          <w:sz w:val="24"/>
          <w:szCs w:val="24"/>
        </w:rPr>
        <w:t>kyní</w:t>
      </w:r>
      <w:r w:rsidR="00553BE6" w:rsidRPr="000F4483">
        <w:rPr>
          <w:sz w:val="24"/>
          <w:szCs w:val="24"/>
        </w:rPr>
        <w:t xml:space="preserve"> byl</w:t>
      </w:r>
      <w:r w:rsidR="000F391B" w:rsidRPr="000F4483">
        <w:rPr>
          <w:sz w:val="24"/>
          <w:szCs w:val="24"/>
        </w:rPr>
        <w:t>a</w:t>
      </w:r>
      <w:r w:rsidR="00553BE6" w:rsidRPr="000F4483">
        <w:rPr>
          <w:sz w:val="24"/>
          <w:szCs w:val="24"/>
        </w:rPr>
        <w:t xml:space="preserve"> zvolen</w:t>
      </w:r>
      <w:r w:rsidR="000F391B" w:rsidRPr="000F4483">
        <w:rPr>
          <w:sz w:val="24"/>
          <w:szCs w:val="24"/>
        </w:rPr>
        <w:t>a</w:t>
      </w:r>
      <w:r w:rsidR="00B90950" w:rsidRPr="000F4483">
        <w:rPr>
          <w:sz w:val="24"/>
          <w:szCs w:val="24"/>
        </w:rPr>
        <w:t xml:space="preserve"> </w:t>
      </w:r>
      <w:r w:rsidR="004020A7" w:rsidRPr="000F4483">
        <w:rPr>
          <w:bCs/>
          <w:color w:val="000000"/>
          <w:sz w:val="24"/>
          <w:szCs w:val="24"/>
        </w:rPr>
        <w:t>Ing. Jana Tomancová</w:t>
      </w:r>
      <w:r w:rsidR="00C32939" w:rsidRPr="000F4483">
        <w:rPr>
          <w:sz w:val="24"/>
          <w:szCs w:val="24"/>
        </w:rPr>
        <w:t xml:space="preserve">, </w:t>
      </w:r>
      <w:r w:rsidR="008467C3" w:rsidRPr="000F4483">
        <w:rPr>
          <w:sz w:val="24"/>
          <w:szCs w:val="24"/>
        </w:rPr>
        <w:t>míst</w:t>
      </w:r>
      <w:r w:rsidR="00857C4B" w:rsidRPr="000F4483">
        <w:rPr>
          <w:sz w:val="24"/>
          <w:szCs w:val="24"/>
        </w:rPr>
        <w:t>opředsed</w:t>
      </w:r>
      <w:r w:rsidR="004020A7" w:rsidRPr="000F4483">
        <w:rPr>
          <w:sz w:val="24"/>
          <w:szCs w:val="24"/>
        </w:rPr>
        <w:t>kyn</w:t>
      </w:r>
      <w:r w:rsidR="007755A8">
        <w:rPr>
          <w:sz w:val="24"/>
          <w:szCs w:val="24"/>
        </w:rPr>
        <w:t>í</w:t>
      </w:r>
      <w:r w:rsidR="00857C4B" w:rsidRPr="000F4483">
        <w:rPr>
          <w:sz w:val="24"/>
          <w:szCs w:val="24"/>
        </w:rPr>
        <w:t xml:space="preserve"> </w:t>
      </w:r>
      <w:r w:rsidR="004020A7" w:rsidRPr="000F4483">
        <w:rPr>
          <w:bCs/>
          <w:color w:val="000000"/>
          <w:sz w:val="24"/>
          <w:szCs w:val="24"/>
        </w:rPr>
        <w:t>PhDr. Hana Landová, Ph.D</w:t>
      </w:r>
      <w:r w:rsidR="00C32939" w:rsidRPr="000F4483">
        <w:rPr>
          <w:sz w:val="24"/>
          <w:szCs w:val="24"/>
        </w:rPr>
        <w:t>.</w:t>
      </w:r>
      <w:r w:rsidR="00DE541A" w:rsidRPr="000F4483">
        <w:rPr>
          <w:sz w:val="24"/>
          <w:szCs w:val="24"/>
        </w:rPr>
        <w:t xml:space="preserve"> Jednání dále vedl</w:t>
      </w:r>
      <w:r w:rsidR="000F391B" w:rsidRPr="000F4483">
        <w:rPr>
          <w:sz w:val="24"/>
          <w:szCs w:val="24"/>
        </w:rPr>
        <w:t>a</w:t>
      </w:r>
      <w:r w:rsidR="00795AA9" w:rsidRPr="000F4483">
        <w:rPr>
          <w:sz w:val="24"/>
          <w:szCs w:val="24"/>
        </w:rPr>
        <w:t xml:space="preserve"> předsed</w:t>
      </w:r>
      <w:r w:rsidR="000F391B" w:rsidRPr="000F4483">
        <w:rPr>
          <w:sz w:val="24"/>
          <w:szCs w:val="24"/>
        </w:rPr>
        <w:t>kyně</w:t>
      </w:r>
      <w:r w:rsidR="00857C4B" w:rsidRPr="000F4483">
        <w:rPr>
          <w:sz w:val="24"/>
          <w:szCs w:val="24"/>
        </w:rPr>
        <w:t xml:space="preserve"> komise</w:t>
      </w:r>
      <w:r w:rsidR="00B90950" w:rsidRPr="000F4483">
        <w:rPr>
          <w:sz w:val="24"/>
          <w:szCs w:val="24"/>
        </w:rPr>
        <w:t xml:space="preserve"> s výjimkou projekt</w:t>
      </w:r>
      <w:r w:rsidR="000F4483" w:rsidRPr="000F4483">
        <w:rPr>
          <w:sz w:val="24"/>
          <w:szCs w:val="24"/>
        </w:rPr>
        <w:t>u</w:t>
      </w:r>
      <w:r w:rsidR="00B90950" w:rsidRPr="000F4483">
        <w:rPr>
          <w:sz w:val="24"/>
          <w:szCs w:val="24"/>
        </w:rPr>
        <w:t xml:space="preserve"> č. </w:t>
      </w:r>
      <w:r w:rsidR="000F391B" w:rsidRPr="000F4483">
        <w:rPr>
          <w:sz w:val="24"/>
          <w:szCs w:val="24"/>
        </w:rPr>
        <w:t>6</w:t>
      </w:r>
      <w:r w:rsidR="00B90950" w:rsidRPr="000F4483">
        <w:rPr>
          <w:sz w:val="24"/>
          <w:szCs w:val="24"/>
        </w:rPr>
        <w:t xml:space="preserve"> (</w:t>
      </w:r>
      <w:r w:rsidR="000F4483" w:rsidRPr="000F4483">
        <w:rPr>
          <w:color w:val="000000"/>
          <w:sz w:val="24"/>
          <w:szCs w:val="24"/>
        </w:rPr>
        <w:t>Krajská knihovna Františka Bartoše ve Zlíně, příspěvková organizace</w:t>
      </w:r>
      <w:r w:rsidR="00B90950" w:rsidRPr="000F4483">
        <w:rPr>
          <w:sz w:val="24"/>
          <w:szCs w:val="24"/>
        </w:rPr>
        <w:t>), kdy se vedení ujal</w:t>
      </w:r>
      <w:r w:rsidR="000F4483" w:rsidRPr="000F4483">
        <w:rPr>
          <w:sz w:val="24"/>
          <w:szCs w:val="24"/>
        </w:rPr>
        <w:t>a</w:t>
      </w:r>
      <w:r w:rsidR="00B90950" w:rsidRPr="000F4483">
        <w:rPr>
          <w:sz w:val="24"/>
          <w:szCs w:val="24"/>
        </w:rPr>
        <w:t xml:space="preserve"> místopředsed</w:t>
      </w:r>
      <w:r w:rsidR="000F4483" w:rsidRPr="000F4483">
        <w:rPr>
          <w:sz w:val="24"/>
          <w:szCs w:val="24"/>
        </w:rPr>
        <w:t>kyně</w:t>
      </w:r>
      <w:r w:rsidR="00B90950" w:rsidRPr="000F4483">
        <w:rPr>
          <w:sz w:val="24"/>
          <w:szCs w:val="24"/>
        </w:rPr>
        <w:t>.</w:t>
      </w:r>
    </w:p>
    <w:p w14:paraId="671B1B57" w14:textId="77777777" w:rsidR="00193EB6" w:rsidRDefault="00193EB6">
      <w:pPr>
        <w:jc w:val="both"/>
        <w:rPr>
          <w:sz w:val="24"/>
        </w:rPr>
      </w:pPr>
    </w:p>
    <w:p w14:paraId="15F4BA77" w14:textId="77777777" w:rsidR="00AE0716" w:rsidRPr="00DC2AB7" w:rsidRDefault="009D2A3C" w:rsidP="00AE0716">
      <w:pPr>
        <w:rPr>
          <w:sz w:val="24"/>
        </w:rPr>
      </w:pPr>
      <w:r>
        <w:rPr>
          <w:b/>
          <w:sz w:val="24"/>
        </w:rPr>
        <w:t>2</w:t>
      </w:r>
      <w:r w:rsidR="00AE0716"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="00AE0716"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14:paraId="53D22D43" w14:textId="63B335B5" w:rsidR="004F2596" w:rsidRPr="003D6E9C" w:rsidRDefault="00F56DC0" w:rsidP="00AE0716">
      <w:pPr>
        <w:jc w:val="both"/>
        <w:rPr>
          <w:color w:val="FF0000"/>
          <w:sz w:val="24"/>
          <w:szCs w:val="24"/>
          <w:highlight w:val="yellow"/>
        </w:rPr>
      </w:pPr>
      <w:r w:rsidRPr="003D6E9C">
        <w:rPr>
          <w:sz w:val="24"/>
          <w:szCs w:val="24"/>
        </w:rPr>
        <w:t xml:space="preserve">Odborný garant </w:t>
      </w:r>
      <w:r w:rsidR="00DE5988" w:rsidRPr="003D6E9C">
        <w:rPr>
          <w:bCs/>
          <w:color w:val="000000"/>
          <w:sz w:val="24"/>
          <w:szCs w:val="24"/>
        </w:rPr>
        <w:t xml:space="preserve">Mgr. Roman Giebisch, Ph.D. </w:t>
      </w:r>
      <w:r w:rsidRPr="003D6E9C">
        <w:rPr>
          <w:sz w:val="24"/>
          <w:szCs w:val="24"/>
        </w:rPr>
        <w:t>zpracoval</w:t>
      </w:r>
      <w:r w:rsidR="00153D8B" w:rsidRPr="003D6E9C">
        <w:rPr>
          <w:sz w:val="24"/>
          <w:szCs w:val="24"/>
        </w:rPr>
        <w:t xml:space="preserve"> souhrnnou zprávu o realizaci</w:t>
      </w:r>
      <w:r w:rsidR="00795AA9" w:rsidRPr="003D6E9C">
        <w:rPr>
          <w:sz w:val="24"/>
          <w:szCs w:val="24"/>
        </w:rPr>
        <w:t xml:space="preserve"> podprogramu VISK 2 za rok 202</w:t>
      </w:r>
      <w:r w:rsidR="0036320D" w:rsidRPr="003D6E9C">
        <w:rPr>
          <w:sz w:val="24"/>
          <w:szCs w:val="24"/>
        </w:rPr>
        <w:t>4</w:t>
      </w:r>
      <w:r w:rsidR="004255EC" w:rsidRPr="003D6E9C">
        <w:rPr>
          <w:sz w:val="24"/>
          <w:szCs w:val="24"/>
        </w:rPr>
        <w:t xml:space="preserve"> (http://visk.nkp.cz/visk-2)</w:t>
      </w:r>
      <w:r w:rsidR="00333C1B" w:rsidRPr="003D6E9C">
        <w:rPr>
          <w:sz w:val="24"/>
          <w:szCs w:val="24"/>
        </w:rPr>
        <w:t>.</w:t>
      </w:r>
      <w:r w:rsidR="00253C76" w:rsidRPr="003D6E9C">
        <w:rPr>
          <w:sz w:val="24"/>
          <w:szCs w:val="24"/>
        </w:rPr>
        <w:t xml:space="preserve"> </w:t>
      </w:r>
      <w:r w:rsidR="001B6CA7" w:rsidRPr="003D6E9C">
        <w:rPr>
          <w:sz w:val="24"/>
          <w:szCs w:val="24"/>
        </w:rPr>
        <w:t>V roce 2024 bylo realizováno celkem 18 kurzů základů informační/počítačové gramotnosti a odučeno celkem 96 hodin a ve 74 kurzech expertních 374 hodin</w:t>
      </w:r>
      <w:r w:rsidR="006C1226" w:rsidRPr="003D6E9C">
        <w:rPr>
          <w:rStyle w:val="Znakapoznpodarou"/>
          <w:sz w:val="24"/>
          <w:szCs w:val="24"/>
        </w:rPr>
        <w:footnoteReference w:id="1"/>
      </w:r>
      <w:r w:rsidR="001B6CA7" w:rsidRPr="003D6E9C">
        <w:rPr>
          <w:sz w:val="24"/>
          <w:szCs w:val="24"/>
        </w:rPr>
        <w:t>. Kurzy probíhaly s výjimkou Karviné v krajských knihovnách (Pardubice, Havlíčkův Brod, Liberec, Ostrava, Praha, Hradec Králové, Kladno, Plzeň, Ústí nad Labem a Olomouc).</w:t>
      </w:r>
      <w:r w:rsidR="00B60744" w:rsidRPr="003D6E9C">
        <w:rPr>
          <w:sz w:val="24"/>
          <w:szCs w:val="24"/>
        </w:rPr>
        <w:t xml:space="preserve"> </w:t>
      </w:r>
      <w:r w:rsidR="003D6E9C" w:rsidRPr="003D6E9C">
        <w:rPr>
          <w:sz w:val="24"/>
          <w:szCs w:val="24"/>
        </w:rPr>
        <w:t xml:space="preserve">Moravskoslezská vědecká knihovna v Ostravě realizovala rekvalifikační kurz typové pozice Knihovník/knihovnice v přímých službách, Knihovna Ústeckého kraje a Studijní a vědecká knihovna v Hradci Králové využily dotaci na výuku Pedagogického minima. </w:t>
      </w:r>
      <w:r w:rsidR="003D6E9C" w:rsidRPr="003D6E9C">
        <w:rPr>
          <w:bCs/>
          <w:sz w:val="24"/>
          <w:szCs w:val="24"/>
        </w:rPr>
        <w:t xml:space="preserve">Katedra informačních studií a knihovnictví MU Brno připravila konference XI. Národní seminář informačního vzdělávání (dále NASIV) a projekt </w:t>
      </w:r>
      <w:proofErr w:type="spellStart"/>
      <w:r w:rsidR="003D6E9C" w:rsidRPr="003D6E9C">
        <w:rPr>
          <w:bCs/>
          <w:sz w:val="24"/>
          <w:szCs w:val="24"/>
        </w:rPr>
        <w:t>CyberPříběhy</w:t>
      </w:r>
      <w:proofErr w:type="spellEnd"/>
      <w:r w:rsidR="003D6E9C" w:rsidRPr="003D6E9C">
        <w:rPr>
          <w:bCs/>
          <w:sz w:val="24"/>
          <w:szCs w:val="24"/>
        </w:rPr>
        <w:t>: cesta k digitálním dovednostem.</w:t>
      </w:r>
    </w:p>
    <w:p w14:paraId="1A3AA826" w14:textId="48910D45" w:rsidR="004020A7" w:rsidRDefault="004020A7" w:rsidP="00AE0716">
      <w:pPr>
        <w:jc w:val="both"/>
        <w:rPr>
          <w:strike/>
          <w:sz w:val="24"/>
        </w:rPr>
      </w:pPr>
    </w:p>
    <w:p w14:paraId="7FB6F704" w14:textId="609DD9BB" w:rsidR="00B257D4" w:rsidRDefault="00B257D4" w:rsidP="00AE0716">
      <w:pPr>
        <w:jc w:val="both"/>
        <w:rPr>
          <w:strike/>
          <w:sz w:val="24"/>
        </w:rPr>
      </w:pPr>
      <w:r w:rsidRPr="00996E6E">
        <w:rPr>
          <w:sz w:val="24"/>
          <w:szCs w:val="24"/>
          <w:u w:val="single"/>
        </w:rPr>
        <w:t xml:space="preserve">Zadávací dokumentace VISK </w:t>
      </w:r>
      <w:r w:rsidR="002540CE">
        <w:rPr>
          <w:sz w:val="24"/>
          <w:szCs w:val="24"/>
          <w:u w:val="single"/>
        </w:rPr>
        <w:t>2</w:t>
      </w:r>
      <w:r w:rsidRPr="00996E6E">
        <w:rPr>
          <w:sz w:val="24"/>
          <w:szCs w:val="24"/>
          <w:u w:val="single"/>
        </w:rPr>
        <w:t xml:space="preserve"> na rok 2026</w:t>
      </w:r>
      <w:r>
        <w:rPr>
          <w:sz w:val="24"/>
          <w:szCs w:val="24"/>
          <w:u w:val="single"/>
        </w:rPr>
        <w:t xml:space="preserve"> (změny kurzívou)</w:t>
      </w:r>
      <w:r w:rsidRPr="00DF5E65">
        <w:rPr>
          <w:sz w:val="24"/>
          <w:szCs w:val="24"/>
        </w:rPr>
        <w:t>:</w:t>
      </w:r>
    </w:p>
    <w:p w14:paraId="11DBD527" w14:textId="30CC59CB" w:rsidR="00B257D4" w:rsidRDefault="00B257D4" w:rsidP="00C04327">
      <w:pPr>
        <w:jc w:val="both"/>
        <w:rPr>
          <w:sz w:val="24"/>
        </w:rPr>
      </w:pPr>
      <w:r w:rsidRPr="00FC6E5B">
        <w:rPr>
          <w:sz w:val="24"/>
          <w:szCs w:val="24"/>
        </w:rPr>
        <w:t>Dotace na úhradu lektorů základních kurzů</w:t>
      </w:r>
      <w:r w:rsidRPr="00592404">
        <w:rPr>
          <w:sz w:val="24"/>
          <w:szCs w:val="24"/>
        </w:rPr>
        <w:t xml:space="preserve"> </w:t>
      </w:r>
      <w:r w:rsidR="00EE04AC">
        <w:rPr>
          <w:sz w:val="24"/>
          <w:szCs w:val="24"/>
        </w:rPr>
        <w:t>[…]</w:t>
      </w:r>
      <w:r w:rsidRPr="00592404">
        <w:rPr>
          <w:sz w:val="24"/>
          <w:szCs w:val="24"/>
        </w:rPr>
        <w:t>, dotace na úhradu lektorů nástavbových</w:t>
      </w:r>
      <w:r w:rsidR="0031545C">
        <w:rPr>
          <w:sz w:val="24"/>
          <w:szCs w:val="24"/>
        </w:rPr>
        <w:t xml:space="preserve"> a </w:t>
      </w:r>
      <w:r w:rsidRPr="00592404">
        <w:rPr>
          <w:sz w:val="24"/>
          <w:szCs w:val="24"/>
        </w:rPr>
        <w:t>specializovaných kurzů (formou odměn z dohod o provedení práce, dohod o pracovní činnosti nebo plateb za služby) je poskytována ve výši 1</w:t>
      </w:r>
      <w:r>
        <w:rPr>
          <w:sz w:val="24"/>
          <w:szCs w:val="24"/>
        </w:rPr>
        <w:t xml:space="preserve"> </w:t>
      </w:r>
      <w:r w:rsidRPr="00592404">
        <w:rPr>
          <w:sz w:val="24"/>
          <w:szCs w:val="24"/>
        </w:rPr>
        <w:t>000 Kč (včetně zákonných odvodů na zdravotní a sociální pojištění)/1 hod</w:t>
      </w:r>
      <w:r w:rsidRPr="0041611A">
        <w:rPr>
          <w:i/>
          <w:sz w:val="24"/>
          <w:szCs w:val="24"/>
        </w:rPr>
        <w:t>, dotace na úhradu lektorů expertních kurzů (formou odměn z dohod o provedení práce, dohod o pracovní činnosti nebo plateb za služby) je poskytována ve výši 2 000 Kč (včetně zákonných odvodů na zdravotní a sociální pojištění)/1 hod.</w:t>
      </w:r>
      <w:r w:rsidRPr="00592404">
        <w:rPr>
          <w:sz w:val="24"/>
          <w:szCs w:val="24"/>
        </w:rPr>
        <w:t xml:space="preserve"> </w:t>
      </w:r>
      <w:r w:rsidRPr="00B257D4">
        <w:rPr>
          <w:i/>
          <w:strike/>
          <w:sz w:val="24"/>
          <w:szCs w:val="24"/>
        </w:rPr>
        <w:t>Toto omezení neplatí pro expertní kurzy</w:t>
      </w:r>
      <w:r w:rsidRPr="00B257D4">
        <w:rPr>
          <w:i/>
          <w:sz w:val="24"/>
          <w:szCs w:val="24"/>
        </w:rPr>
        <w:t>.</w:t>
      </w:r>
      <w:r w:rsidRPr="00B257D4">
        <w:rPr>
          <w:sz w:val="24"/>
          <w:szCs w:val="24"/>
        </w:rPr>
        <w:t xml:space="preserve"> </w:t>
      </w:r>
      <w:r w:rsidRPr="00592404">
        <w:rPr>
          <w:sz w:val="24"/>
          <w:szCs w:val="24"/>
        </w:rPr>
        <w:t>Jedna vyučovací hodina hrazená z dotace trvá 60 minut.</w:t>
      </w:r>
    </w:p>
    <w:p w14:paraId="6255ACED" w14:textId="34031860" w:rsidR="00C04327" w:rsidRPr="00AC7DBD" w:rsidRDefault="00C04327" w:rsidP="00C04327">
      <w:pPr>
        <w:jc w:val="both"/>
        <w:rPr>
          <w:sz w:val="24"/>
        </w:rPr>
      </w:pPr>
    </w:p>
    <w:p w14:paraId="01619430" w14:textId="5BF6E125" w:rsidR="00C66E7A" w:rsidRPr="003D6E9C" w:rsidRDefault="0095253F" w:rsidP="00AE0716">
      <w:pPr>
        <w:jc w:val="both"/>
        <w:rPr>
          <w:sz w:val="24"/>
        </w:rPr>
      </w:pPr>
      <w:r w:rsidRPr="003D6E9C">
        <w:rPr>
          <w:sz w:val="24"/>
        </w:rPr>
        <w:t>P</w:t>
      </w:r>
      <w:r w:rsidR="00C66E7A" w:rsidRPr="003D6E9C">
        <w:rPr>
          <w:sz w:val="24"/>
        </w:rPr>
        <w:t xml:space="preserve">řipomínky </w:t>
      </w:r>
      <w:r w:rsidR="003733DB" w:rsidRPr="003D6E9C">
        <w:rPr>
          <w:sz w:val="24"/>
        </w:rPr>
        <w:t>k</w:t>
      </w:r>
      <w:r w:rsidR="00C66E7A" w:rsidRPr="003D6E9C">
        <w:rPr>
          <w:sz w:val="24"/>
        </w:rPr>
        <w:t xml:space="preserve"> zadávací dokumentaci</w:t>
      </w:r>
      <w:r w:rsidR="00A46F52" w:rsidRPr="003D6E9C">
        <w:rPr>
          <w:sz w:val="24"/>
        </w:rPr>
        <w:t xml:space="preserve"> VISK 2</w:t>
      </w:r>
      <w:r w:rsidR="00C66E7A" w:rsidRPr="003D6E9C">
        <w:rPr>
          <w:sz w:val="24"/>
        </w:rPr>
        <w:t xml:space="preserve"> na r. 202</w:t>
      </w:r>
      <w:r w:rsidRPr="003D6E9C">
        <w:rPr>
          <w:sz w:val="24"/>
        </w:rPr>
        <w:t>6</w:t>
      </w:r>
      <w:r w:rsidR="00C66E7A" w:rsidRPr="003D6E9C">
        <w:rPr>
          <w:sz w:val="24"/>
        </w:rPr>
        <w:t xml:space="preserve"> lze zasílat </w:t>
      </w:r>
      <w:r w:rsidRPr="003D6E9C">
        <w:rPr>
          <w:sz w:val="24"/>
        </w:rPr>
        <w:t>do konce srpna 2025.</w:t>
      </w:r>
    </w:p>
    <w:p w14:paraId="064BD94C" w14:textId="77777777" w:rsidR="00245387" w:rsidRPr="00760183" w:rsidRDefault="00245387" w:rsidP="004B3B26">
      <w:pPr>
        <w:jc w:val="both"/>
        <w:rPr>
          <w:sz w:val="24"/>
          <w:szCs w:val="24"/>
        </w:rPr>
      </w:pPr>
    </w:p>
    <w:p w14:paraId="622AD788" w14:textId="77777777" w:rsidR="002F035D" w:rsidRDefault="009D2A3C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209B65FC" w14:textId="4B311E4C" w:rsidR="00304FF3" w:rsidRPr="00BA43CE" w:rsidRDefault="00795AA9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202</w:t>
      </w:r>
      <w:r w:rsidR="005E146D">
        <w:rPr>
          <w:b w:val="0"/>
          <w:bCs w:val="0"/>
          <w:sz w:val="24"/>
          <w:szCs w:val="24"/>
          <w:u w:val="single"/>
        </w:rPr>
        <w:t>5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14:paraId="54155E1A" w14:textId="4C493214" w:rsidR="00DA0A08" w:rsidRPr="00DA0A08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 xml:space="preserve">na mimoškolní vzdělávání knihovníků </w:t>
      </w:r>
      <w:r w:rsidR="00C66E7A">
        <w:rPr>
          <w:sz w:val="24"/>
        </w:rPr>
        <w:t xml:space="preserve">nejen </w:t>
      </w:r>
      <w:r w:rsidR="00BA43CE" w:rsidRPr="00BA43CE">
        <w:rPr>
          <w:sz w:val="24"/>
        </w:rPr>
        <w:t>v oblasti ICT</w:t>
      </w:r>
      <w:r w:rsidR="00E140EE">
        <w:rPr>
          <w:sz w:val="24"/>
        </w:rPr>
        <w:t xml:space="preserve">, </w:t>
      </w:r>
      <w:r w:rsidR="00E140EE">
        <w:rPr>
          <w:sz w:val="24"/>
          <w:szCs w:val="24"/>
        </w:rPr>
        <w:t>přípravu</w:t>
      </w:r>
      <w:r w:rsidR="00C66E7A">
        <w:rPr>
          <w:sz w:val="24"/>
          <w:szCs w:val="24"/>
        </w:rPr>
        <w:t xml:space="preserve"> </w:t>
      </w:r>
      <w:r w:rsidR="00E140EE">
        <w:rPr>
          <w:sz w:val="24"/>
          <w:szCs w:val="24"/>
        </w:rPr>
        <w:t>a realizaci</w:t>
      </w:r>
      <w:r w:rsidR="00E140EE" w:rsidRPr="003F2D14">
        <w:rPr>
          <w:sz w:val="24"/>
          <w:szCs w:val="24"/>
        </w:rPr>
        <w:t xml:space="preserve"> knihovnických rekvalifikačních kurzů</w:t>
      </w:r>
      <w:r w:rsidR="00E140EE">
        <w:rPr>
          <w:sz w:val="24"/>
        </w:rPr>
        <w:t xml:space="preserve"> podle NSK (vč. </w:t>
      </w:r>
      <w:r w:rsidR="00E140EE" w:rsidRPr="003F2D14">
        <w:rPr>
          <w:sz w:val="24"/>
          <w:szCs w:val="24"/>
        </w:rPr>
        <w:t>prohlubování odborných způsobilostí</w:t>
      </w:r>
      <w:r w:rsidR="00E140EE">
        <w:rPr>
          <w:sz w:val="24"/>
          <w:szCs w:val="24"/>
        </w:rPr>
        <w:t>)</w:t>
      </w:r>
      <w:r w:rsidR="00B9268B">
        <w:rPr>
          <w:sz w:val="24"/>
          <w:szCs w:val="24"/>
        </w:rPr>
        <w:t xml:space="preserve"> a </w:t>
      </w:r>
      <w:r w:rsidR="00E140EE" w:rsidRPr="003F2D14">
        <w:rPr>
          <w:sz w:val="24"/>
          <w:szCs w:val="24"/>
        </w:rPr>
        <w:t>pedagogické</w:t>
      </w:r>
      <w:r w:rsidR="00DA0A08">
        <w:rPr>
          <w:sz w:val="24"/>
          <w:szCs w:val="24"/>
        </w:rPr>
        <w:t xml:space="preserve"> kompetence,</w:t>
      </w:r>
    </w:p>
    <w:p w14:paraId="283BA461" w14:textId="6C55850C" w:rsidR="0066712C" w:rsidRPr="00290048" w:rsidRDefault="0066712C" w:rsidP="00DE0392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u základních k</w:t>
      </w:r>
      <w:r w:rsidR="002249A2" w:rsidRPr="00290048">
        <w:rPr>
          <w:sz w:val="24"/>
        </w:rPr>
        <w:t xml:space="preserve">urzů je stanovena sazba max. </w:t>
      </w:r>
      <w:r w:rsidR="00B458E0">
        <w:rPr>
          <w:sz w:val="24"/>
        </w:rPr>
        <w:t>7</w:t>
      </w:r>
      <w:r w:rsidR="002249A2" w:rsidRPr="00290048">
        <w:rPr>
          <w:sz w:val="24"/>
        </w:rPr>
        <w:t>00</w:t>
      </w:r>
      <w:r w:rsidRPr="00290048">
        <w:rPr>
          <w:sz w:val="24"/>
        </w:rPr>
        <w:t xml:space="preserve"> Kč/hod.,</w:t>
      </w:r>
      <w:r w:rsidR="00685382">
        <w:rPr>
          <w:sz w:val="24"/>
        </w:rPr>
        <w:t xml:space="preserve"> </w:t>
      </w:r>
      <w:r w:rsidR="00B458E0">
        <w:rPr>
          <w:sz w:val="24"/>
        </w:rPr>
        <w:t xml:space="preserve">u </w:t>
      </w:r>
      <w:r w:rsidR="00685382" w:rsidRPr="00290048">
        <w:rPr>
          <w:sz w:val="24"/>
        </w:rPr>
        <w:t>nástavbových</w:t>
      </w:r>
      <w:r w:rsidR="00B9268B">
        <w:rPr>
          <w:sz w:val="24"/>
        </w:rPr>
        <w:t xml:space="preserve"> a </w:t>
      </w:r>
      <w:proofErr w:type="spellStart"/>
      <w:r w:rsidR="00B458E0">
        <w:rPr>
          <w:sz w:val="24"/>
        </w:rPr>
        <w:t>speci</w:t>
      </w:r>
      <w:r w:rsidR="00335173">
        <w:rPr>
          <w:sz w:val="24"/>
        </w:rPr>
        <w:t>-</w:t>
      </w:r>
      <w:r w:rsidR="00B458E0">
        <w:rPr>
          <w:sz w:val="24"/>
        </w:rPr>
        <w:t>alizovaných</w:t>
      </w:r>
      <w:proofErr w:type="spellEnd"/>
      <w:r w:rsidR="00685382" w:rsidRPr="00290048">
        <w:rPr>
          <w:sz w:val="24"/>
        </w:rPr>
        <w:t xml:space="preserve"> kurzů</w:t>
      </w:r>
      <w:r w:rsidR="00B458E0">
        <w:rPr>
          <w:sz w:val="24"/>
        </w:rPr>
        <w:t xml:space="preserve"> max. 1</w:t>
      </w:r>
      <w:r w:rsidR="005E146D">
        <w:rPr>
          <w:sz w:val="24"/>
        </w:rPr>
        <w:t xml:space="preserve"> </w:t>
      </w:r>
      <w:r w:rsidR="00B458E0">
        <w:rPr>
          <w:sz w:val="24"/>
        </w:rPr>
        <w:t>000 Kč/hod.</w:t>
      </w:r>
      <w:r w:rsidR="00685382">
        <w:rPr>
          <w:sz w:val="24"/>
        </w:rPr>
        <w:t xml:space="preserve"> (omezení neplatí pro expertní kurzy)</w:t>
      </w:r>
      <w:r w:rsidR="00B458E0">
        <w:rPr>
          <w:sz w:val="24"/>
        </w:rPr>
        <w:t>,</w:t>
      </w:r>
    </w:p>
    <w:p w14:paraId="1D6855C0" w14:textId="2523646A" w:rsidR="00290048" w:rsidRPr="00290048" w:rsidRDefault="00290048" w:rsidP="0029004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 </w:t>
      </w:r>
      <w:r w:rsidR="00E140EE">
        <w:rPr>
          <w:sz w:val="24"/>
        </w:rPr>
        <w:t>rekvalifikačních kurzů</w:t>
      </w:r>
      <w:r w:rsidR="004257DF" w:rsidRPr="00290048">
        <w:rPr>
          <w:sz w:val="24"/>
        </w:rPr>
        <w:t xml:space="preserve"> je stanovena </w:t>
      </w:r>
      <w:r w:rsidRPr="00290048">
        <w:rPr>
          <w:sz w:val="24"/>
        </w:rPr>
        <w:t>sazba ma</w:t>
      </w:r>
      <w:r w:rsidR="00965D43">
        <w:rPr>
          <w:sz w:val="24"/>
        </w:rPr>
        <w:t>x. 500 Kč</w:t>
      </w:r>
      <w:r w:rsidRPr="00290048">
        <w:rPr>
          <w:sz w:val="24"/>
        </w:rPr>
        <w:t xml:space="preserve">/hod. </w:t>
      </w:r>
      <w:r w:rsidR="004213FF">
        <w:rPr>
          <w:sz w:val="24"/>
        </w:rPr>
        <w:t xml:space="preserve">jak pro </w:t>
      </w:r>
      <w:r w:rsidRPr="00290048">
        <w:rPr>
          <w:sz w:val="24"/>
        </w:rPr>
        <w:t>frontální výuku</w:t>
      </w:r>
      <w:r w:rsidR="004213FF">
        <w:rPr>
          <w:sz w:val="24"/>
        </w:rPr>
        <w:t>, tak</w:t>
      </w:r>
      <w:r w:rsidR="00795AA9">
        <w:rPr>
          <w:sz w:val="24"/>
        </w:rPr>
        <w:t xml:space="preserve"> </w:t>
      </w:r>
      <w:r w:rsidRPr="00290048">
        <w:rPr>
          <w:sz w:val="24"/>
        </w:rPr>
        <w:t>pro tutory e-</w:t>
      </w:r>
      <w:proofErr w:type="spellStart"/>
      <w:r w:rsidRPr="00290048">
        <w:rPr>
          <w:sz w:val="24"/>
        </w:rPr>
        <w:t>learningu</w:t>
      </w:r>
      <w:proofErr w:type="spellEnd"/>
      <w:r w:rsidRPr="00290048">
        <w:rPr>
          <w:sz w:val="24"/>
        </w:rPr>
        <w:t>,</w:t>
      </w:r>
    </w:p>
    <w:p w14:paraId="2235F3AF" w14:textId="77777777" w:rsidR="00D176FB" w:rsidRPr="00290048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výše dotace byla zaokrouhlována na celé tisíce směrem dolů.</w:t>
      </w:r>
    </w:p>
    <w:p w14:paraId="0AD244D6" w14:textId="77777777" w:rsidR="00304FF3" w:rsidRDefault="00304FF3">
      <w:pPr>
        <w:pStyle w:val="Zkladntextodsazen2"/>
        <w:ind w:firstLine="0"/>
      </w:pPr>
    </w:p>
    <w:p w14:paraId="3FA78B6D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373983F6" w14:textId="57DCEF1B" w:rsidR="00DC6AEC" w:rsidRPr="00297A5C" w:rsidRDefault="00D41ED5" w:rsidP="00DC6AE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</w:t>
      </w:r>
      <w:r w:rsidR="00795AA9">
        <w:rPr>
          <w:sz w:val="24"/>
          <w:szCs w:val="24"/>
        </w:rPr>
        <w:t>ok 202</w:t>
      </w:r>
      <w:r w:rsidR="002540CE">
        <w:rPr>
          <w:sz w:val="24"/>
          <w:szCs w:val="24"/>
        </w:rPr>
        <w:t>5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</w:t>
      </w:r>
      <w:r w:rsidRPr="008466D9">
        <w:rPr>
          <w:sz w:val="24"/>
          <w:szCs w:val="24"/>
        </w:rPr>
        <w:t>zpracování</w:t>
      </w:r>
      <w:r w:rsidR="004A7B1C" w:rsidRPr="008466D9">
        <w:rPr>
          <w:sz w:val="24"/>
          <w:szCs w:val="24"/>
        </w:rPr>
        <w:t xml:space="preserve"> projektu.</w:t>
      </w:r>
      <w:r w:rsidR="009F11BD" w:rsidRPr="008466D9">
        <w:rPr>
          <w:sz w:val="24"/>
          <w:szCs w:val="24"/>
        </w:rPr>
        <w:t xml:space="preserve"> Poté byly jednotlivým projektům přidělovány </w:t>
      </w:r>
      <w:r w:rsidR="009F11BD" w:rsidRPr="00297A5C">
        <w:rPr>
          <w:sz w:val="24"/>
          <w:szCs w:val="24"/>
        </w:rPr>
        <w:t>konkrétní finan</w:t>
      </w:r>
      <w:r w:rsidRPr="00297A5C">
        <w:rPr>
          <w:sz w:val="24"/>
          <w:szCs w:val="24"/>
        </w:rPr>
        <w:t>ční částky</w:t>
      </w:r>
      <w:r w:rsidR="009F11BD" w:rsidRPr="00297A5C">
        <w:rPr>
          <w:sz w:val="24"/>
          <w:szCs w:val="24"/>
        </w:rPr>
        <w:t>.</w:t>
      </w:r>
      <w:r w:rsidR="00821A96" w:rsidRPr="00297A5C">
        <w:rPr>
          <w:sz w:val="24"/>
          <w:szCs w:val="24"/>
        </w:rPr>
        <w:t xml:space="preserve"> </w:t>
      </w:r>
      <w:r w:rsidR="00A4637F" w:rsidRPr="00297A5C">
        <w:rPr>
          <w:sz w:val="24"/>
          <w:szCs w:val="24"/>
        </w:rPr>
        <w:t>Pokud byl</w:t>
      </w:r>
      <w:r w:rsidR="00DC6AEC" w:rsidRPr="00297A5C">
        <w:rPr>
          <w:sz w:val="24"/>
          <w:szCs w:val="24"/>
        </w:rPr>
        <w:t xml:space="preserve"> projednáván projekt</w:t>
      </w:r>
      <w:r w:rsidR="00A4637F" w:rsidRPr="00297A5C">
        <w:rPr>
          <w:sz w:val="24"/>
          <w:szCs w:val="24"/>
        </w:rPr>
        <w:t xml:space="preserve"> instituce</w:t>
      </w:r>
      <w:r w:rsidR="00DC6AEC" w:rsidRPr="00297A5C">
        <w:rPr>
          <w:sz w:val="24"/>
          <w:szCs w:val="24"/>
        </w:rPr>
        <w:t>, jejímž pracovníkem (členem statutárního orgánu) je člen komise, pak se tento člen</w:t>
      </w:r>
      <w:r w:rsidR="007F39F0" w:rsidRPr="00297A5C">
        <w:rPr>
          <w:sz w:val="24"/>
          <w:szCs w:val="24"/>
        </w:rPr>
        <w:t xml:space="preserve"> komise </w:t>
      </w:r>
      <w:r w:rsidR="00DC6AEC" w:rsidRPr="00297A5C">
        <w:rPr>
          <w:sz w:val="24"/>
          <w:szCs w:val="24"/>
        </w:rPr>
        <w:t>rozpr</w:t>
      </w:r>
      <w:r w:rsidR="007F39F0" w:rsidRPr="00297A5C">
        <w:rPr>
          <w:sz w:val="24"/>
          <w:szCs w:val="24"/>
        </w:rPr>
        <w:t xml:space="preserve">avy ani </w:t>
      </w:r>
      <w:r w:rsidR="00DC6AEC" w:rsidRPr="00297A5C">
        <w:rPr>
          <w:sz w:val="24"/>
          <w:szCs w:val="24"/>
        </w:rPr>
        <w:t>hlas</w:t>
      </w:r>
      <w:r w:rsidR="009807BB" w:rsidRPr="00297A5C">
        <w:rPr>
          <w:sz w:val="24"/>
          <w:szCs w:val="24"/>
        </w:rPr>
        <w:t xml:space="preserve">ování o </w:t>
      </w:r>
      <w:r w:rsidR="007F39F0" w:rsidRPr="00297A5C">
        <w:rPr>
          <w:sz w:val="24"/>
          <w:szCs w:val="24"/>
        </w:rPr>
        <w:t>projektu neúčastnil</w:t>
      </w:r>
      <w:r w:rsidR="001A1E25" w:rsidRPr="00297A5C">
        <w:rPr>
          <w:sz w:val="24"/>
          <w:szCs w:val="24"/>
        </w:rPr>
        <w:t xml:space="preserve"> (Bc. </w:t>
      </w:r>
      <w:r w:rsidR="008E50E1" w:rsidRPr="00297A5C">
        <w:rPr>
          <w:sz w:val="24"/>
          <w:szCs w:val="24"/>
        </w:rPr>
        <w:t xml:space="preserve">Radka </w:t>
      </w:r>
      <w:r w:rsidR="001A1E25" w:rsidRPr="00297A5C">
        <w:rPr>
          <w:sz w:val="24"/>
          <w:szCs w:val="24"/>
        </w:rPr>
        <w:t>Havlicová – projekt č. 1</w:t>
      </w:r>
      <w:r w:rsidR="00B15779" w:rsidRPr="00297A5C">
        <w:rPr>
          <w:sz w:val="24"/>
          <w:szCs w:val="24"/>
        </w:rPr>
        <w:t>6</w:t>
      </w:r>
      <w:r w:rsidR="001A1E25" w:rsidRPr="00297A5C">
        <w:rPr>
          <w:sz w:val="24"/>
          <w:szCs w:val="24"/>
        </w:rPr>
        <w:t xml:space="preserve">; </w:t>
      </w:r>
      <w:r w:rsidR="00B15779" w:rsidRPr="00297A5C">
        <w:rPr>
          <w:sz w:val="24"/>
          <w:szCs w:val="24"/>
        </w:rPr>
        <w:t xml:space="preserve">Mgr. et Bc. Agnieszka Lamr – projekt č. 18, Mgr. Olga Macháčková – projekt č. 14, </w:t>
      </w:r>
      <w:r w:rsidR="00297A5C" w:rsidRPr="00297A5C">
        <w:rPr>
          <w:sz w:val="24"/>
          <w:szCs w:val="24"/>
        </w:rPr>
        <w:t xml:space="preserve">Mgr. Michaela Mrázová – projekty č. </w:t>
      </w:r>
      <w:r w:rsidR="00297A5C" w:rsidRPr="00297A5C">
        <w:rPr>
          <w:color w:val="000000"/>
          <w:sz w:val="24"/>
          <w:szCs w:val="24"/>
        </w:rPr>
        <w:t xml:space="preserve">2, 3, 10, 14, 16, 18, </w:t>
      </w:r>
      <w:r w:rsidR="001A1E25" w:rsidRPr="00297A5C">
        <w:rPr>
          <w:sz w:val="24"/>
          <w:szCs w:val="24"/>
        </w:rPr>
        <w:t xml:space="preserve">Bc. </w:t>
      </w:r>
      <w:r w:rsidR="00B15779" w:rsidRPr="00297A5C">
        <w:rPr>
          <w:sz w:val="24"/>
          <w:szCs w:val="24"/>
        </w:rPr>
        <w:t xml:space="preserve">Eva </w:t>
      </w:r>
      <w:proofErr w:type="spellStart"/>
      <w:r w:rsidR="001A1E25" w:rsidRPr="00297A5C">
        <w:rPr>
          <w:sz w:val="24"/>
          <w:szCs w:val="24"/>
        </w:rPr>
        <w:t>Šenfeldová</w:t>
      </w:r>
      <w:proofErr w:type="spellEnd"/>
      <w:r w:rsidR="001A1E25" w:rsidRPr="00297A5C">
        <w:rPr>
          <w:sz w:val="24"/>
          <w:szCs w:val="24"/>
        </w:rPr>
        <w:t xml:space="preserve"> – </w:t>
      </w:r>
      <w:r w:rsidR="00B15779" w:rsidRPr="00297A5C">
        <w:rPr>
          <w:sz w:val="24"/>
          <w:szCs w:val="24"/>
        </w:rPr>
        <w:t xml:space="preserve">projekt </w:t>
      </w:r>
      <w:r w:rsidR="001A1E25" w:rsidRPr="00297A5C">
        <w:rPr>
          <w:sz w:val="24"/>
          <w:szCs w:val="24"/>
        </w:rPr>
        <w:t xml:space="preserve">č. </w:t>
      </w:r>
      <w:r w:rsidR="00B15779" w:rsidRPr="00297A5C">
        <w:rPr>
          <w:sz w:val="24"/>
          <w:szCs w:val="24"/>
        </w:rPr>
        <w:t xml:space="preserve">7, </w:t>
      </w:r>
      <w:r w:rsidR="00B15779" w:rsidRPr="00297A5C">
        <w:rPr>
          <w:bCs/>
          <w:color w:val="000000"/>
          <w:sz w:val="24"/>
          <w:szCs w:val="24"/>
        </w:rPr>
        <w:t>Ing. Jana Tomancová – projekt č. 6</w:t>
      </w:r>
      <w:r w:rsidR="001A1E25" w:rsidRPr="00297A5C">
        <w:rPr>
          <w:sz w:val="24"/>
          <w:szCs w:val="24"/>
        </w:rPr>
        <w:t>).</w:t>
      </w:r>
    </w:p>
    <w:p w14:paraId="551EB6DC" w14:textId="77777777" w:rsidR="00685382" w:rsidRDefault="00685382" w:rsidP="009F11BD">
      <w:pPr>
        <w:jc w:val="both"/>
        <w:rPr>
          <w:sz w:val="24"/>
          <w:szCs w:val="24"/>
        </w:rPr>
      </w:pPr>
    </w:p>
    <w:p w14:paraId="15BE7AF8" w14:textId="66104769" w:rsidR="008D5162" w:rsidRPr="0071767D" w:rsidRDefault="00BD4CB0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CE27C6" w:rsidRPr="0071767D">
        <w:rPr>
          <w:b/>
          <w:bCs/>
          <w:sz w:val="24"/>
        </w:rPr>
        <w:t>. Doporučení komi</w:t>
      </w:r>
      <w:r w:rsidR="00D64A29" w:rsidRPr="0071767D">
        <w:rPr>
          <w:b/>
          <w:bCs/>
          <w:sz w:val="24"/>
        </w:rPr>
        <w:t>se a podmínky poskytnutí dotace</w:t>
      </w:r>
      <w:r w:rsidR="00CE27C6" w:rsidRPr="0071767D">
        <w:rPr>
          <w:b/>
          <w:bCs/>
          <w:sz w:val="24"/>
        </w:rPr>
        <w:t>:</w:t>
      </w:r>
    </w:p>
    <w:p w14:paraId="48B8D8ED" w14:textId="533A8FB5" w:rsidR="002E55B8" w:rsidRDefault="006D093C" w:rsidP="00AE4161">
      <w:pPr>
        <w:spacing w:after="120"/>
        <w:jc w:val="both"/>
        <w:rPr>
          <w:bCs/>
          <w:sz w:val="24"/>
        </w:rPr>
      </w:pPr>
      <w:r>
        <w:rPr>
          <w:bCs/>
          <w:sz w:val="24"/>
        </w:rPr>
        <w:t>- projekt č. 5 (</w:t>
      </w:r>
      <w:r w:rsidRPr="006D093C">
        <w:rPr>
          <w:bCs/>
          <w:sz w:val="24"/>
        </w:rPr>
        <w:t>Moravsk</w:t>
      </w:r>
      <w:bookmarkStart w:id="0" w:name="_GoBack"/>
      <w:bookmarkEnd w:id="0"/>
      <w:r w:rsidRPr="006D093C">
        <w:rPr>
          <w:bCs/>
          <w:sz w:val="24"/>
        </w:rPr>
        <w:t>oslezská vědecká knihovna v Ostravě, příspěvková organizace</w:t>
      </w:r>
      <w:r w:rsidR="00691537">
        <w:rPr>
          <w:bCs/>
          <w:sz w:val="24"/>
        </w:rPr>
        <w:t xml:space="preserve">): </w:t>
      </w:r>
      <w:r w:rsidR="009B01B8">
        <w:rPr>
          <w:sz w:val="24"/>
        </w:rPr>
        <w:t>V žádosti není dodržena podmínka maximální výše dotace</w:t>
      </w:r>
      <w:r w:rsidR="009B01B8" w:rsidRPr="00382A63">
        <w:rPr>
          <w:sz w:val="24"/>
        </w:rPr>
        <w:t xml:space="preserve"> 70 % </w:t>
      </w:r>
      <w:r w:rsidR="009B01B8">
        <w:rPr>
          <w:sz w:val="24"/>
        </w:rPr>
        <w:t xml:space="preserve">z </w:t>
      </w:r>
      <w:r w:rsidR="009B01B8" w:rsidRPr="00382A63">
        <w:rPr>
          <w:sz w:val="24"/>
        </w:rPr>
        <w:t>celkových nákladů na realizaci projektu</w:t>
      </w:r>
      <w:r w:rsidR="00923634">
        <w:rPr>
          <w:sz w:val="24"/>
        </w:rPr>
        <w:t xml:space="preserve"> (spoluúčast 29,</w:t>
      </w:r>
      <w:r w:rsidR="00FC7774">
        <w:rPr>
          <w:sz w:val="24"/>
        </w:rPr>
        <w:t>9</w:t>
      </w:r>
      <w:r w:rsidR="00923634">
        <w:rPr>
          <w:sz w:val="24"/>
        </w:rPr>
        <w:t xml:space="preserve"> %)</w:t>
      </w:r>
      <w:r w:rsidR="00972000">
        <w:rPr>
          <w:sz w:val="24"/>
        </w:rPr>
        <w:t>,</w:t>
      </w:r>
      <w:r w:rsidR="00D569E0">
        <w:rPr>
          <w:sz w:val="24"/>
        </w:rPr>
        <w:t xml:space="preserve"> </w:t>
      </w:r>
      <w:r w:rsidR="00972000">
        <w:rPr>
          <w:sz w:val="24"/>
        </w:rPr>
        <w:t xml:space="preserve">v tabulce Rozpočet projektu </w:t>
      </w:r>
      <w:r w:rsidR="00B65F7A">
        <w:rPr>
          <w:sz w:val="24"/>
        </w:rPr>
        <w:t xml:space="preserve">nejsou </w:t>
      </w:r>
      <w:r w:rsidR="00972000">
        <w:rPr>
          <w:sz w:val="24"/>
        </w:rPr>
        <w:t>hodnoty procent zaokrouhleny na jedno desetinné místo</w:t>
      </w:r>
      <w:r w:rsidR="009B01B8">
        <w:rPr>
          <w:sz w:val="24"/>
        </w:rPr>
        <w:t>, z tohoto důvodu je dotace krácena</w:t>
      </w:r>
      <w:r w:rsidR="00691537">
        <w:rPr>
          <w:bCs/>
          <w:sz w:val="24"/>
        </w:rPr>
        <w:t>.</w:t>
      </w:r>
    </w:p>
    <w:p w14:paraId="109F9355" w14:textId="4360D591" w:rsidR="00BF2C51" w:rsidRDefault="00BF2C51" w:rsidP="00AE4161">
      <w:pPr>
        <w:spacing w:after="120"/>
        <w:jc w:val="both"/>
        <w:rPr>
          <w:sz w:val="24"/>
        </w:rPr>
      </w:pPr>
      <w:r>
        <w:rPr>
          <w:bCs/>
          <w:sz w:val="24"/>
        </w:rPr>
        <w:t xml:space="preserve">- projekt č. </w:t>
      </w:r>
      <w:r w:rsidR="00274E3C">
        <w:rPr>
          <w:bCs/>
          <w:sz w:val="24"/>
        </w:rPr>
        <w:t>8</w:t>
      </w:r>
      <w:r>
        <w:rPr>
          <w:bCs/>
          <w:sz w:val="24"/>
        </w:rPr>
        <w:t xml:space="preserve"> (</w:t>
      </w:r>
      <w:r w:rsidR="00274E3C" w:rsidRPr="00274E3C">
        <w:rPr>
          <w:bCs/>
          <w:sz w:val="24"/>
        </w:rPr>
        <w:t>Krajská knihovna Vysočiny</w:t>
      </w:r>
      <w:r>
        <w:rPr>
          <w:bCs/>
          <w:sz w:val="24"/>
        </w:rPr>
        <w:t xml:space="preserve">): </w:t>
      </w:r>
      <w:r w:rsidR="00374271">
        <w:rPr>
          <w:sz w:val="24"/>
        </w:rPr>
        <w:t>V žádost</w:t>
      </w:r>
      <w:r w:rsidR="007B581F">
        <w:rPr>
          <w:sz w:val="24"/>
        </w:rPr>
        <w:t>i</w:t>
      </w:r>
      <w:r w:rsidR="00374271">
        <w:rPr>
          <w:sz w:val="24"/>
        </w:rPr>
        <w:t xml:space="preserve"> chybí v tabulce Rozpočet projektu položka Celkové náklady projektu.</w:t>
      </w:r>
    </w:p>
    <w:p w14:paraId="523C9856" w14:textId="71D0BB1C" w:rsidR="00854061" w:rsidRDefault="00854061" w:rsidP="00AE4161">
      <w:pPr>
        <w:spacing w:after="120"/>
        <w:jc w:val="both"/>
        <w:rPr>
          <w:bCs/>
          <w:sz w:val="24"/>
        </w:rPr>
      </w:pPr>
      <w:r>
        <w:rPr>
          <w:bCs/>
          <w:sz w:val="24"/>
        </w:rPr>
        <w:t>- projekt č. 9 (</w:t>
      </w:r>
      <w:r w:rsidRPr="00854061">
        <w:rPr>
          <w:bCs/>
          <w:sz w:val="24"/>
        </w:rPr>
        <w:t>Krajská knihovna v</w:t>
      </w:r>
      <w:r>
        <w:rPr>
          <w:bCs/>
          <w:sz w:val="24"/>
        </w:rPr>
        <w:t> </w:t>
      </w:r>
      <w:r w:rsidRPr="00854061">
        <w:rPr>
          <w:bCs/>
          <w:sz w:val="24"/>
        </w:rPr>
        <w:t>Pardubicích</w:t>
      </w:r>
      <w:r>
        <w:rPr>
          <w:bCs/>
          <w:sz w:val="24"/>
        </w:rPr>
        <w:t xml:space="preserve">): V žádosti nesouhlasí </w:t>
      </w:r>
      <w:r w:rsidR="007B581F">
        <w:rPr>
          <w:bCs/>
          <w:sz w:val="24"/>
        </w:rPr>
        <w:t>v tabulce Rozpočet projektu položk</w:t>
      </w:r>
      <w:r w:rsidR="00C00928">
        <w:rPr>
          <w:bCs/>
          <w:sz w:val="24"/>
        </w:rPr>
        <w:t>y</w:t>
      </w:r>
      <w:r w:rsidR="007B581F">
        <w:rPr>
          <w:bCs/>
          <w:sz w:val="24"/>
        </w:rPr>
        <w:t xml:space="preserve"> Požadavek na dotaci s</w:t>
      </w:r>
      <w:r w:rsidR="00C00928">
        <w:rPr>
          <w:bCs/>
          <w:sz w:val="24"/>
        </w:rPr>
        <w:t xml:space="preserve"> </w:t>
      </w:r>
      <w:r w:rsidR="007B581F">
        <w:rPr>
          <w:bCs/>
          <w:sz w:val="24"/>
        </w:rPr>
        <w:t xml:space="preserve">položkou Neinvestiční náklady </w:t>
      </w:r>
      <w:r w:rsidR="00A40B54">
        <w:rPr>
          <w:bCs/>
          <w:sz w:val="24"/>
        </w:rPr>
        <w:t xml:space="preserve">– </w:t>
      </w:r>
      <w:r w:rsidR="007B581F">
        <w:rPr>
          <w:bCs/>
          <w:sz w:val="24"/>
        </w:rPr>
        <w:t>z</w:t>
      </w:r>
      <w:r w:rsidR="00C00928">
        <w:rPr>
          <w:bCs/>
          <w:sz w:val="24"/>
        </w:rPr>
        <w:t xml:space="preserve"> </w:t>
      </w:r>
      <w:r w:rsidR="007B581F">
        <w:rPr>
          <w:bCs/>
          <w:sz w:val="24"/>
        </w:rPr>
        <w:t>toho dotace</w:t>
      </w:r>
      <w:r w:rsidR="00D142F5">
        <w:rPr>
          <w:bCs/>
          <w:sz w:val="24"/>
        </w:rPr>
        <w:t xml:space="preserve"> </w:t>
      </w:r>
      <w:r w:rsidR="00D142F5" w:rsidRPr="00D142F5">
        <w:rPr>
          <w:bCs/>
          <w:sz w:val="24"/>
        </w:rPr>
        <w:t xml:space="preserve">(rozpis služeb) a vlastní prostředky (součet služeb a OON) </w:t>
      </w:r>
      <w:r>
        <w:rPr>
          <w:bCs/>
          <w:sz w:val="24"/>
        </w:rPr>
        <w:t>v Komentáři rozpočtu</w:t>
      </w:r>
      <w:r w:rsidR="00D9658E">
        <w:rPr>
          <w:bCs/>
          <w:sz w:val="24"/>
        </w:rPr>
        <w:t>, z toho důvodu je dotace krácena.</w:t>
      </w:r>
    </w:p>
    <w:p w14:paraId="5CF6F421" w14:textId="4E6BABC0" w:rsidR="007511C5" w:rsidRDefault="007511C5" w:rsidP="00AE4161">
      <w:pPr>
        <w:spacing w:after="120"/>
        <w:jc w:val="both"/>
        <w:rPr>
          <w:sz w:val="24"/>
        </w:rPr>
      </w:pPr>
      <w:r>
        <w:rPr>
          <w:bCs/>
          <w:sz w:val="24"/>
        </w:rPr>
        <w:t>- projekt č. 11 (</w:t>
      </w:r>
      <w:r w:rsidRPr="007511C5">
        <w:rPr>
          <w:bCs/>
          <w:sz w:val="24"/>
        </w:rPr>
        <w:t>Regionální knihovna Karviná, příspěvková organizace</w:t>
      </w:r>
      <w:r>
        <w:rPr>
          <w:bCs/>
          <w:sz w:val="24"/>
        </w:rPr>
        <w:t xml:space="preserve">): </w:t>
      </w:r>
      <w:r>
        <w:rPr>
          <w:sz w:val="24"/>
        </w:rPr>
        <w:t>V žádost</w:t>
      </w:r>
      <w:r w:rsidR="00FB6227">
        <w:rPr>
          <w:sz w:val="24"/>
        </w:rPr>
        <w:t>i</w:t>
      </w:r>
      <w:r>
        <w:rPr>
          <w:sz w:val="24"/>
        </w:rPr>
        <w:t xml:space="preserve"> chybí v tabulce Rozpočet projektu položka Celkové náklady projektu</w:t>
      </w:r>
      <w:r w:rsidR="004A5CF9">
        <w:rPr>
          <w:sz w:val="24"/>
        </w:rPr>
        <w:t xml:space="preserve">, </w:t>
      </w:r>
      <w:r w:rsidR="00E45C28">
        <w:rPr>
          <w:sz w:val="24"/>
        </w:rPr>
        <w:t xml:space="preserve">dále je </w:t>
      </w:r>
      <w:r w:rsidR="004A5CF9">
        <w:rPr>
          <w:sz w:val="24"/>
        </w:rPr>
        <w:t>nedostatečně zdůvodněn</w:t>
      </w:r>
      <w:r w:rsidR="006744C6">
        <w:rPr>
          <w:sz w:val="24"/>
        </w:rPr>
        <w:t>á výše částky za kurz (12 hodin za 50 000 Kč), z tohoto důvodu je dotace krácena.</w:t>
      </w:r>
    </w:p>
    <w:p w14:paraId="4B5A1B71" w14:textId="09E83954" w:rsidR="00127A7D" w:rsidRDefault="00CD0A1F" w:rsidP="00AE4161">
      <w:pPr>
        <w:spacing w:after="120"/>
        <w:jc w:val="both"/>
        <w:rPr>
          <w:sz w:val="24"/>
        </w:rPr>
      </w:pPr>
      <w:r>
        <w:rPr>
          <w:bCs/>
          <w:sz w:val="24"/>
        </w:rPr>
        <w:t>- projekt č. 13 (</w:t>
      </w:r>
      <w:r w:rsidRPr="00CD0A1F">
        <w:rPr>
          <w:bCs/>
          <w:sz w:val="24"/>
        </w:rPr>
        <w:t>Krajská knihovna Karlovy Vary</w:t>
      </w:r>
      <w:r>
        <w:rPr>
          <w:bCs/>
          <w:sz w:val="24"/>
        </w:rPr>
        <w:t xml:space="preserve">): </w:t>
      </w:r>
      <w:r w:rsidR="00BE72EA">
        <w:rPr>
          <w:bCs/>
          <w:sz w:val="24"/>
        </w:rPr>
        <w:t xml:space="preserve">V žádosti </w:t>
      </w:r>
      <w:r w:rsidR="00C20A1F">
        <w:rPr>
          <w:bCs/>
          <w:sz w:val="24"/>
        </w:rPr>
        <w:t xml:space="preserve">opakovaně </w:t>
      </w:r>
      <w:r w:rsidR="00BE72EA">
        <w:rPr>
          <w:bCs/>
          <w:sz w:val="24"/>
        </w:rPr>
        <w:t>n</w:t>
      </w:r>
      <w:r w:rsidR="00127A7D">
        <w:rPr>
          <w:sz w:val="24"/>
        </w:rPr>
        <w:t>a titulní straně</w:t>
      </w:r>
      <w:r w:rsidR="00BE72EA">
        <w:rPr>
          <w:sz w:val="24"/>
        </w:rPr>
        <w:t xml:space="preserve"> a </w:t>
      </w:r>
      <w:r w:rsidR="00291D59">
        <w:rPr>
          <w:sz w:val="24"/>
        </w:rPr>
        <w:t xml:space="preserve">dále </w:t>
      </w:r>
      <w:r w:rsidR="00BE72EA">
        <w:rPr>
          <w:sz w:val="24"/>
        </w:rPr>
        <w:t xml:space="preserve">v tabulce Rozpočet projektu v položce </w:t>
      </w:r>
      <w:r w:rsidR="00BE72EA" w:rsidRPr="00BE72EA">
        <w:rPr>
          <w:sz w:val="24"/>
        </w:rPr>
        <w:t>Celkové náklady projektu</w:t>
      </w:r>
      <w:r w:rsidR="00AA6A1D">
        <w:rPr>
          <w:sz w:val="24"/>
        </w:rPr>
        <w:t xml:space="preserve"> – </w:t>
      </w:r>
      <w:r w:rsidR="00E737BA">
        <w:rPr>
          <w:sz w:val="24"/>
        </w:rPr>
        <w:t>P</w:t>
      </w:r>
      <w:r w:rsidR="00AA6A1D">
        <w:rPr>
          <w:sz w:val="24"/>
        </w:rPr>
        <w:t>ožadavek na dotaci</w:t>
      </w:r>
      <w:r w:rsidR="00BE72EA" w:rsidRPr="00BE72EA">
        <w:rPr>
          <w:sz w:val="24"/>
        </w:rPr>
        <w:t xml:space="preserve"> </w:t>
      </w:r>
      <w:r w:rsidR="00AA6A1D">
        <w:rPr>
          <w:sz w:val="24"/>
        </w:rPr>
        <w:t>jsou</w:t>
      </w:r>
      <w:r w:rsidR="00127A7D">
        <w:rPr>
          <w:sz w:val="24"/>
        </w:rPr>
        <w:t xml:space="preserve"> uveden</w:t>
      </w:r>
      <w:r w:rsidR="00AA6A1D">
        <w:rPr>
          <w:sz w:val="24"/>
        </w:rPr>
        <w:t>y</w:t>
      </w:r>
      <w:r w:rsidR="00127A7D">
        <w:rPr>
          <w:sz w:val="24"/>
        </w:rPr>
        <w:t xml:space="preserve"> chybn</w:t>
      </w:r>
      <w:r w:rsidR="00AA6A1D">
        <w:rPr>
          <w:sz w:val="24"/>
        </w:rPr>
        <w:t>é</w:t>
      </w:r>
      <w:r w:rsidR="00127A7D">
        <w:rPr>
          <w:sz w:val="24"/>
        </w:rPr>
        <w:t xml:space="preserve"> výše požadované dotace.</w:t>
      </w:r>
    </w:p>
    <w:p w14:paraId="69CD153B" w14:textId="13A8B65A" w:rsidR="00DE623D" w:rsidRDefault="00DE623D" w:rsidP="00AE4161">
      <w:pPr>
        <w:spacing w:after="120"/>
        <w:jc w:val="both"/>
        <w:rPr>
          <w:sz w:val="24"/>
        </w:rPr>
      </w:pPr>
      <w:r>
        <w:rPr>
          <w:sz w:val="24"/>
        </w:rPr>
        <w:t>- projekt č. 17 (</w:t>
      </w:r>
      <w:r w:rsidRPr="00DE623D">
        <w:rPr>
          <w:sz w:val="24"/>
        </w:rPr>
        <w:t xml:space="preserve">Sdružení knihoven ČR, </w:t>
      </w:r>
      <w:proofErr w:type="spellStart"/>
      <w:r w:rsidRPr="00DE623D">
        <w:rPr>
          <w:sz w:val="24"/>
        </w:rPr>
        <w:t>z.s</w:t>
      </w:r>
      <w:proofErr w:type="spellEnd"/>
      <w:r>
        <w:rPr>
          <w:sz w:val="24"/>
        </w:rPr>
        <w:t xml:space="preserve">): </w:t>
      </w:r>
      <w:r w:rsidR="00F82681">
        <w:rPr>
          <w:sz w:val="24"/>
        </w:rPr>
        <w:t>V žádost</w:t>
      </w:r>
      <w:r w:rsidR="00FB6227">
        <w:rPr>
          <w:sz w:val="24"/>
        </w:rPr>
        <w:t>i</w:t>
      </w:r>
      <w:r w:rsidR="00F82681">
        <w:rPr>
          <w:sz w:val="24"/>
        </w:rPr>
        <w:t xml:space="preserve"> chybí v tabulce Rozpočet projektu položka Celkové náklady projektu.</w:t>
      </w:r>
    </w:p>
    <w:p w14:paraId="6B8CAFC8" w14:textId="183F317C" w:rsidR="007511C5" w:rsidRDefault="007511C5" w:rsidP="008D5162">
      <w:pPr>
        <w:jc w:val="both"/>
        <w:rPr>
          <w:bCs/>
          <w:sz w:val="24"/>
        </w:rPr>
      </w:pPr>
    </w:p>
    <w:p w14:paraId="38992294" w14:textId="77777777" w:rsidR="0001515F" w:rsidRDefault="0001515F">
      <w:pPr>
        <w:rPr>
          <w:sz w:val="24"/>
          <w:u w:val="single"/>
        </w:rPr>
      </w:pPr>
      <w:r>
        <w:rPr>
          <w:u w:val="single"/>
        </w:rPr>
        <w:br w:type="page"/>
      </w:r>
    </w:p>
    <w:p w14:paraId="694112F7" w14:textId="6079B81D" w:rsidR="00E33476" w:rsidRPr="0008535A" w:rsidRDefault="00E33476" w:rsidP="00112218">
      <w:pPr>
        <w:pStyle w:val="Zkladntext"/>
      </w:pPr>
      <w:r w:rsidRPr="0008535A">
        <w:rPr>
          <w:u w:val="single"/>
        </w:rPr>
        <w:lastRenderedPageBreak/>
        <w:t xml:space="preserve">Podmínka v </w:t>
      </w:r>
      <w:r w:rsidR="00112218" w:rsidRPr="0008535A">
        <w:rPr>
          <w:u w:val="single"/>
        </w:rPr>
        <w:t>Rozhodnutí o poskytnutí dotace</w:t>
      </w:r>
      <w:r w:rsidRPr="0008535A">
        <w:t>:</w:t>
      </w:r>
    </w:p>
    <w:p w14:paraId="40828C2A" w14:textId="21E8141B" w:rsidR="00AB301B" w:rsidRPr="0008535A" w:rsidRDefault="00441899" w:rsidP="00441899">
      <w:pPr>
        <w:pStyle w:val="Zkladntext"/>
        <w:rPr>
          <w:b/>
          <w:i/>
        </w:rPr>
      </w:pPr>
      <w:r w:rsidRPr="0008535A">
        <w:rPr>
          <w:b/>
          <w:i/>
        </w:rPr>
        <w:t>Školení hrazené z dotace je pro pracovníky knihoven bezplatné</w:t>
      </w:r>
      <w:r w:rsidR="00CA002F" w:rsidRPr="0008535A">
        <w:rPr>
          <w:b/>
          <w:i/>
        </w:rPr>
        <w:t xml:space="preserve"> </w:t>
      </w:r>
      <w:r w:rsidRPr="0008535A">
        <w:rPr>
          <w:b/>
          <w:i/>
        </w:rPr>
        <w:t xml:space="preserve">a musí se týkat výhradně </w:t>
      </w:r>
      <w:r w:rsidR="000049E8" w:rsidRPr="0008535A">
        <w:rPr>
          <w:b/>
          <w:i/>
        </w:rPr>
        <w:t xml:space="preserve">vzdělávacích aktivit popsaných v projektu. </w:t>
      </w:r>
      <w:r w:rsidRPr="0008535A">
        <w:rPr>
          <w:b/>
          <w:i/>
        </w:rPr>
        <w:t>Dotace na hrazení lektorů</w:t>
      </w:r>
      <w:r w:rsidR="00AB301B" w:rsidRPr="0008535A">
        <w:rPr>
          <w:b/>
          <w:i/>
        </w:rPr>
        <w:t xml:space="preserve"> základních kurzů</w:t>
      </w:r>
      <w:r w:rsidRPr="0008535A">
        <w:rPr>
          <w:b/>
          <w:i/>
        </w:rPr>
        <w:t xml:space="preserve"> (formou OON nebo </w:t>
      </w:r>
      <w:r w:rsidR="00923A4F" w:rsidRPr="0008535A">
        <w:rPr>
          <w:b/>
          <w:i/>
        </w:rPr>
        <w:t xml:space="preserve">plateb za </w:t>
      </w:r>
      <w:r w:rsidRPr="0008535A">
        <w:rPr>
          <w:b/>
          <w:i/>
        </w:rPr>
        <w:t>služ</w:t>
      </w:r>
      <w:r w:rsidR="00923A4F" w:rsidRPr="0008535A">
        <w:rPr>
          <w:b/>
          <w:i/>
        </w:rPr>
        <w:t>by</w:t>
      </w:r>
      <w:r w:rsidRPr="0008535A">
        <w:rPr>
          <w:b/>
          <w:i/>
        </w:rPr>
        <w:t xml:space="preserve">) </w:t>
      </w:r>
      <w:r w:rsidR="00C51B15" w:rsidRPr="0008535A">
        <w:rPr>
          <w:b/>
          <w:i/>
        </w:rPr>
        <w:t xml:space="preserve">je poskytována ve výši </w:t>
      </w:r>
      <w:r w:rsidR="00AB301B" w:rsidRPr="0008535A">
        <w:rPr>
          <w:b/>
          <w:i/>
        </w:rPr>
        <w:t>7</w:t>
      </w:r>
      <w:r w:rsidRPr="0008535A">
        <w:rPr>
          <w:b/>
          <w:i/>
        </w:rPr>
        <w:t xml:space="preserve">00 Kč (včetně zákonných odvodů na zdravotní a sociální </w:t>
      </w:r>
      <w:proofErr w:type="gramStart"/>
      <w:r w:rsidRPr="0008535A">
        <w:rPr>
          <w:b/>
          <w:i/>
        </w:rPr>
        <w:t>pojištění)/</w:t>
      </w:r>
      <w:proofErr w:type="gramEnd"/>
      <w:r w:rsidRPr="0008535A">
        <w:rPr>
          <w:b/>
          <w:i/>
        </w:rPr>
        <w:t>1 hod.</w:t>
      </w:r>
      <w:r w:rsidR="00AB301B" w:rsidRPr="0008535A">
        <w:rPr>
          <w:b/>
          <w:i/>
        </w:rPr>
        <w:t xml:space="preserve"> </w:t>
      </w:r>
      <w:r w:rsidR="00923A4F" w:rsidRPr="0008535A">
        <w:rPr>
          <w:b/>
          <w:i/>
        </w:rPr>
        <w:t>Dotace na úhradu lektorů nástavbových a specializovaných kurzů (formou OON nebo plateb za služby) je poskytována ve výši 1</w:t>
      </w:r>
      <w:r w:rsidR="00823C75" w:rsidRPr="0008535A">
        <w:rPr>
          <w:b/>
          <w:i/>
        </w:rPr>
        <w:t xml:space="preserve"> </w:t>
      </w:r>
      <w:r w:rsidR="00923A4F" w:rsidRPr="0008535A">
        <w:rPr>
          <w:b/>
          <w:i/>
        </w:rPr>
        <w:t>000 Kč</w:t>
      </w:r>
      <w:r w:rsidR="0021633C" w:rsidRPr="0008535A">
        <w:rPr>
          <w:b/>
          <w:i/>
        </w:rPr>
        <w:t xml:space="preserve"> </w:t>
      </w:r>
      <w:r w:rsidR="00923A4F" w:rsidRPr="0008535A">
        <w:rPr>
          <w:b/>
          <w:i/>
        </w:rPr>
        <w:t>(včetně zákonných odvodů na zdravotní a sociální pojištění)/1 hod. Toto omezení neplatí pro expertní kurzy.</w:t>
      </w:r>
    </w:p>
    <w:p w14:paraId="6B685B30" w14:textId="77777777" w:rsidR="009601DF" w:rsidRPr="0008535A" w:rsidRDefault="009601DF" w:rsidP="00441899">
      <w:pPr>
        <w:pStyle w:val="Zkladntext"/>
      </w:pPr>
    </w:p>
    <w:p w14:paraId="2E7CB273" w14:textId="4A6846C1" w:rsidR="009D01D4" w:rsidRPr="0008535A" w:rsidRDefault="009601DF" w:rsidP="00441899">
      <w:pPr>
        <w:pStyle w:val="Zkladntext"/>
      </w:pPr>
      <w:r w:rsidRPr="0008535A">
        <w:rPr>
          <w:u w:val="single"/>
        </w:rPr>
        <w:t>Podmínka v Rozhodnutí o poskytnutí dotace</w:t>
      </w:r>
      <w:r w:rsidRPr="0008535A">
        <w:t xml:space="preserve"> </w:t>
      </w:r>
      <w:r w:rsidR="00CD1676" w:rsidRPr="00297A5C">
        <w:rPr>
          <w:szCs w:val="24"/>
        </w:rPr>
        <w:t>–</w:t>
      </w:r>
      <w:r w:rsidR="009D01D4" w:rsidRPr="0008535A">
        <w:t xml:space="preserve"> </w:t>
      </w:r>
      <w:r w:rsidRPr="0008535A">
        <w:t>rekvalifikační vzdělávání</w:t>
      </w:r>
      <w:r w:rsidR="009D01D4" w:rsidRPr="0008535A">
        <w:t xml:space="preserve"> podle NSK:</w:t>
      </w:r>
    </w:p>
    <w:p w14:paraId="69DAC197" w14:textId="1D6F2C76" w:rsidR="009601DF" w:rsidRPr="0008535A" w:rsidRDefault="009D01D4" w:rsidP="00441899">
      <w:pPr>
        <w:pStyle w:val="Zkladntext"/>
        <w:rPr>
          <w:sz w:val="22"/>
          <w:szCs w:val="22"/>
        </w:rPr>
      </w:pPr>
      <w:r w:rsidRPr="0008535A">
        <w:rPr>
          <w:sz w:val="22"/>
          <w:szCs w:val="22"/>
        </w:rPr>
        <w:t>(</w:t>
      </w:r>
      <w:r w:rsidR="0028026E" w:rsidRPr="0008535A">
        <w:rPr>
          <w:sz w:val="22"/>
          <w:szCs w:val="22"/>
        </w:rPr>
        <w:t xml:space="preserve">projekt č. </w:t>
      </w:r>
      <w:r w:rsidR="00792A6A" w:rsidRPr="0008535A">
        <w:rPr>
          <w:sz w:val="22"/>
          <w:szCs w:val="22"/>
        </w:rPr>
        <w:t>5</w:t>
      </w:r>
      <w:r w:rsidR="00371F48" w:rsidRPr="0008535A">
        <w:rPr>
          <w:sz w:val="22"/>
          <w:szCs w:val="22"/>
        </w:rPr>
        <w:t xml:space="preserve"> Moravskoslezská vědecká knihovna v Ostravě, příspěvková organizace</w:t>
      </w:r>
      <w:r w:rsidRPr="0008535A">
        <w:rPr>
          <w:sz w:val="22"/>
          <w:szCs w:val="22"/>
        </w:rPr>
        <w:t>)</w:t>
      </w:r>
    </w:p>
    <w:p w14:paraId="513A0982" w14:textId="4E755C05" w:rsidR="00864E74" w:rsidRPr="0008535A" w:rsidRDefault="00864E74" w:rsidP="00864E74">
      <w:pPr>
        <w:jc w:val="both"/>
        <w:rPr>
          <w:b/>
          <w:i/>
          <w:sz w:val="24"/>
          <w:szCs w:val="24"/>
        </w:rPr>
      </w:pPr>
      <w:r w:rsidRPr="0008535A">
        <w:rPr>
          <w:b/>
          <w:i/>
          <w:sz w:val="24"/>
          <w:szCs w:val="24"/>
        </w:rPr>
        <w:t xml:space="preserve">Dotace na úhradu lektorů knihovnických rekvalifikačních kurzů podle NSK (frontální výuka) </w:t>
      </w:r>
      <w:r w:rsidR="00C9140D" w:rsidRPr="0008535A">
        <w:rPr>
          <w:b/>
          <w:i/>
          <w:sz w:val="24"/>
          <w:szCs w:val="24"/>
        </w:rPr>
        <w:t>a</w:t>
      </w:r>
      <w:r w:rsidRPr="0008535A">
        <w:rPr>
          <w:b/>
          <w:i/>
          <w:sz w:val="24"/>
          <w:szCs w:val="24"/>
        </w:rPr>
        <w:t xml:space="preserve"> tutorů (e-</w:t>
      </w:r>
      <w:proofErr w:type="spellStart"/>
      <w:r w:rsidRPr="0008535A">
        <w:rPr>
          <w:b/>
          <w:i/>
          <w:sz w:val="24"/>
          <w:szCs w:val="24"/>
        </w:rPr>
        <w:t>learning</w:t>
      </w:r>
      <w:proofErr w:type="spellEnd"/>
      <w:r w:rsidRPr="0008535A">
        <w:rPr>
          <w:b/>
          <w:i/>
          <w:sz w:val="24"/>
          <w:szCs w:val="24"/>
        </w:rPr>
        <w:t xml:space="preserve">) je poskytována ve výši 500 Kč (včetně zákonných odvodů na zdravotní a sociální </w:t>
      </w:r>
      <w:proofErr w:type="gramStart"/>
      <w:r w:rsidRPr="0008535A">
        <w:rPr>
          <w:b/>
          <w:i/>
          <w:sz w:val="24"/>
          <w:szCs w:val="24"/>
        </w:rPr>
        <w:t>pojištění)/</w:t>
      </w:r>
      <w:proofErr w:type="gramEnd"/>
      <w:r w:rsidRPr="0008535A">
        <w:rPr>
          <w:b/>
          <w:i/>
          <w:sz w:val="24"/>
          <w:szCs w:val="24"/>
        </w:rPr>
        <w:t>1 hod.</w:t>
      </w:r>
    </w:p>
    <w:p w14:paraId="0E118578" w14:textId="77777777" w:rsidR="00864E74" w:rsidRPr="00091096" w:rsidRDefault="00864E74" w:rsidP="00B14CDC">
      <w:pPr>
        <w:jc w:val="both"/>
        <w:rPr>
          <w:sz w:val="24"/>
          <w:szCs w:val="24"/>
        </w:rPr>
      </w:pPr>
    </w:p>
    <w:p w14:paraId="299E3570" w14:textId="77777777"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14:paraId="3574D55E" w14:textId="77777777" w:rsidR="00C42BDA" w:rsidRPr="00C42BDA" w:rsidRDefault="00C42BDA" w:rsidP="00305B5B">
      <w:pPr>
        <w:jc w:val="both"/>
        <w:rPr>
          <w:bCs/>
          <w:sz w:val="24"/>
        </w:rPr>
      </w:pPr>
    </w:p>
    <w:p w14:paraId="5E2A3C28" w14:textId="5685EB72" w:rsidR="00304FF3" w:rsidRPr="009307FC" w:rsidRDefault="00BD4CB0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 w:rsidRPr="009307FC">
        <w:rPr>
          <w:b/>
          <w:bCs/>
          <w:sz w:val="24"/>
        </w:rPr>
        <w:t xml:space="preserve">. </w:t>
      </w:r>
      <w:r w:rsidR="00F263FC" w:rsidRPr="009307FC">
        <w:rPr>
          <w:b/>
          <w:bCs/>
          <w:sz w:val="24"/>
        </w:rPr>
        <w:t>Závěr - p</w:t>
      </w:r>
      <w:r w:rsidR="00304FF3" w:rsidRPr="009307FC">
        <w:rPr>
          <w:b/>
          <w:bCs/>
          <w:sz w:val="24"/>
        </w:rPr>
        <w:t>řiděle</w:t>
      </w:r>
      <w:r w:rsidR="00D64A29" w:rsidRPr="009307FC">
        <w:rPr>
          <w:b/>
          <w:bCs/>
          <w:sz w:val="24"/>
        </w:rPr>
        <w:t>ní finančních prostředků</w:t>
      </w:r>
      <w:r w:rsidR="00304FF3" w:rsidRPr="009307FC">
        <w:rPr>
          <w:b/>
          <w:bCs/>
          <w:sz w:val="24"/>
        </w:rPr>
        <w:t>:</w:t>
      </w:r>
    </w:p>
    <w:p w14:paraId="1552AF8A" w14:textId="41B4AFE2" w:rsidR="00D64A29" w:rsidRPr="009307FC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307FC">
        <w:rPr>
          <w:sz w:val="24"/>
        </w:rPr>
        <w:t xml:space="preserve">Celkem bylo přihlášeno a komisi předloženo k hodnocení </w:t>
      </w:r>
      <w:r w:rsidR="00BD4CB0">
        <w:rPr>
          <w:b/>
          <w:bCs/>
          <w:sz w:val="24"/>
        </w:rPr>
        <w:t>1</w:t>
      </w:r>
      <w:r w:rsidR="003A3749">
        <w:rPr>
          <w:b/>
          <w:bCs/>
          <w:sz w:val="24"/>
        </w:rPr>
        <w:t>8</w:t>
      </w:r>
      <w:r w:rsidRPr="009307FC">
        <w:rPr>
          <w:b/>
          <w:bCs/>
          <w:sz w:val="24"/>
        </w:rPr>
        <w:t xml:space="preserve"> projektů</w:t>
      </w:r>
      <w:r w:rsidRPr="009307FC">
        <w:rPr>
          <w:sz w:val="24"/>
        </w:rPr>
        <w:t xml:space="preserve">. Souhrn veškerých finančních požadavků činil </w:t>
      </w:r>
      <w:r w:rsidR="00BD4CB0">
        <w:rPr>
          <w:b/>
          <w:bCs/>
          <w:sz w:val="24"/>
        </w:rPr>
        <w:t>8</w:t>
      </w:r>
      <w:r w:rsidR="003A3749">
        <w:rPr>
          <w:b/>
          <w:bCs/>
          <w:sz w:val="24"/>
        </w:rPr>
        <w:t>95</w:t>
      </w:r>
      <w:r w:rsidRPr="009307FC">
        <w:rPr>
          <w:b/>
          <w:bCs/>
          <w:sz w:val="24"/>
        </w:rPr>
        <w:t xml:space="preserve"> 000 Kč</w:t>
      </w:r>
      <w:r w:rsidRPr="009307FC">
        <w:rPr>
          <w:sz w:val="24"/>
        </w:rPr>
        <w:t>.</w:t>
      </w:r>
    </w:p>
    <w:p w14:paraId="2024EEEB" w14:textId="551971BE" w:rsidR="008D4ACB" w:rsidRPr="009307FC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9307FC">
        <w:rPr>
          <w:sz w:val="24"/>
        </w:rPr>
        <w:t xml:space="preserve">Komise doporučila k finanční podpoře MK </w:t>
      </w:r>
      <w:r w:rsidR="007B1437" w:rsidRPr="009307FC">
        <w:rPr>
          <w:b/>
          <w:bCs/>
          <w:sz w:val="24"/>
        </w:rPr>
        <w:t>1</w:t>
      </w:r>
      <w:r w:rsidR="00B4097F">
        <w:rPr>
          <w:b/>
          <w:bCs/>
          <w:sz w:val="24"/>
        </w:rPr>
        <w:t>8</w:t>
      </w:r>
      <w:r w:rsidRPr="009307FC">
        <w:rPr>
          <w:b/>
          <w:bCs/>
          <w:sz w:val="24"/>
        </w:rPr>
        <w:t xml:space="preserve"> projektů</w:t>
      </w:r>
      <w:r w:rsidR="006B7B60" w:rsidRPr="009307FC">
        <w:rPr>
          <w:b/>
          <w:bCs/>
          <w:sz w:val="24"/>
        </w:rPr>
        <w:t>.</w:t>
      </w:r>
      <w:r w:rsidR="00D64A29" w:rsidRPr="009307FC">
        <w:rPr>
          <w:b/>
          <w:bCs/>
          <w:sz w:val="24"/>
        </w:rPr>
        <w:t xml:space="preserve"> </w:t>
      </w:r>
      <w:r w:rsidRPr="009307FC">
        <w:rPr>
          <w:sz w:val="24"/>
        </w:rPr>
        <w:t xml:space="preserve">Celkem bylo rozděleno </w:t>
      </w:r>
      <w:r w:rsidR="001F79E6" w:rsidRPr="009307FC">
        <w:rPr>
          <w:sz w:val="24"/>
        </w:rPr>
        <w:br/>
      </w:r>
      <w:r w:rsidR="00BD4CB0">
        <w:rPr>
          <w:b/>
          <w:sz w:val="24"/>
        </w:rPr>
        <w:t>8</w:t>
      </w:r>
      <w:r w:rsidR="00437FCF">
        <w:rPr>
          <w:b/>
          <w:sz w:val="24"/>
        </w:rPr>
        <w:t xml:space="preserve">78 </w:t>
      </w:r>
      <w:r w:rsidR="006B7B60" w:rsidRPr="009307FC">
        <w:rPr>
          <w:b/>
          <w:sz w:val="24"/>
        </w:rPr>
        <w:t>000</w:t>
      </w:r>
      <w:r w:rsidRPr="009307FC">
        <w:rPr>
          <w:b/>
          <w:sz w:val="24"/>
        </w:rPr>
        <w:t xml:space="preserve"> Kč</w:t>
      </w:r>
      <w:r w:rsidR="001F79E6" w:rsidRPr="009307FC">
        <w:rPr>
          <w:sz w:val="24"/>
        </w:rPr>
        <w:t xml:space="preserve"> </w:t>
      </w:r>
      <w:r w:rsidR="006B7B60" w:rsidRPr="009307FC">
        <w:rPr>
          <w:sz w:val="24"/>
        </w:rPr>
        <w:t>neinvestiční</w:t>
      </w:r>
      <w:r w:rsidR="001F79E6" w:rsidRPr="009307FC">
        <w:rPr>
          <w:sz w:val="24"/>
        </w:rPr>
        <w:t>ch prostředků.</w:t>
      </w:r>
      <w:r w:rsidRPr="009307FC">
        <w:rPr>
          <w:sz w:val="24"/>
        </w:rPr>
        <w:t xml:space="preserve"> Výsledky ukazuje přiložená tabulka.</w:t>
      </w:r>
    </w:p>
    <w:p w14:paraId="4F6D4F18" w14:textId="14E1758A" w:rsidR="008121D5" w:rsidRDefault="008121D5">
      <w:pPr>
        <w:jc w:val="both"/>
        <w:rPr>
          <w:sz w:val="24"/>
        </w:rPr>
      </w:pPr>
    </w:p>
    <w:p w14:paraId="2866F544" w14:textId="77777777" w:rsidR="00BD4CB0" w:rsidRPr="006B7B60" w:rsidRDefault="00BD4CB0">
      <w:pPr>
        <w:jc w:val="both"/>
        <w:rPr>
          <w:sz w:val="24"/>
        </w:rPr>
      </w:pPr>
    </w:p>
    <w:p w14:paraId="47EC133D" w14:textId="77777777" w:rsidR="000E14E5" w:rsidRDefault="000E14E5">
      <w:pPr>
        <w:jc w:val="both"/>
        <w:rPr>
          <w:sz w:val="24"/>
        </w:rPr>
      </w:pPr>
    </w:p>
    <w:p w14:paraId="5D7602ED" w14:textId="4834AE98" w:rsidR="00FB5C29" w:rsidRDefault="00FB5C29" w:rsidP="00FB5C29">
      <w:pPr>
        <w:jc w:val="both"/>
        <w:rPr>
          <w:bCs/>
          <w:sz w:val="24"/>
        </w:rPr>
      </w:pPr>
      <w:r>
        <w:rPr>
          <w:bCs/>
          <w:sz w:val="24"/>
        </w:rPr>
        <w:t>Zapsala: Mgr. Pavlína Doležalová, tajemnice, 13. února 2025</w:t>
      </w:r>
    </w:p>
    <w:p w14:paraId="135B1FA8" w14:textId="77777777" w:rsidR="00FB5C29" w:rsidRDefault="00FB5C29" w:rsidP="00FB5C29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</w:p>
    <w:p w14:paraId="29DA368A" w14:textId="77777777" w:rsidR="00FB5C29" w:rsidRDefault="00FB5C29" w:rsidP="00FB5C29">
      <w:pPr>
        <w:jc w:val="both"/>
        <w:rPr>
          <w:bCs/>
          <w:sz w:val="24"/>
        </w:rPr>
      </w:pPr>
    </w:p>
    <w:p w14:paraId="336B230D" w14:textId="77777777" w:rsidR="00FB5C29" w:rsidRDefault="00FB5C29" w:rsidP="00FB5C29">
      <w:pPr>
        <w:jc w:val="both"/>
        <w:rPr>
          <w:bCs/>
          <w:sz w:val="24"/>
        </w:rPr>
      </w:pPr>
    </w:p>
    <w:p w14:paraId="302C782D" w14:textId="4391DC4E" w:rsidR="00FB5C29" w:rsidRPr="0047600A" w:rsidRDefault="00FB5C29" w:rsidP="00FB5C29">
      <w:pPr>
        <w:jc w:val="both"/>
        <w:rPr>
          <w:bCs/>
          <w:sz w:val="24"/>
        </w:rPr>
      </w:pPr>
      <w:r w:rsidRPr="0047600A">
        <w:rPr>
          <w:bCs/>
          <w:sz w:val="24"/>
        </w:rPr>
        <w:t xml:space="preserve">Schválila: </w:t>
      </w:r>
      <w:r w:rsidR="00437FCF" w:rsidRPr="000F4483">
        <w:rPr>
          <w:bCs/>
          <w:color w:val="000000"/>
          <w:sz w:val="24"/>
          <w:szCs w:val="24"/>
        </w:rPr>
        <w:t>Ing. Jana Tomancová</w:t>
      </w:r>
      <w:r w:rsidRPr="0047600A">
        <w:rPr>
          <w:sz w:val="24"/>
        </w:rPr>
        <w:t xml:space="preserve">, </w:t>
      </w:r>
      <w:r w:rsidRPr="0047600A">
        <w:rPr>
          <w:bCs/>
          <w:sz w:val="24"/>
        </w:rPr>
        <w:t>předsedkyně komise</w:t>
      </w:r>
    </w:p>
    <w:p w14:paraId="350B10A5" w14:textId="77777777" w:rsidR="00FB5C29" w:rsidRDefault="00FB5C29" w:rsidP="00FB5C29">
      <w:pPr>
        <w:ind w:left="283" w:hanging="283"/>
        <w:jc w:val="both"/>
        <w:rPr>
          <w:sz w:val="24"/>
        </w:rPr>
      </w:pPr>
    </w:p>
    <w:p w14:paraId="3D5D465B" w14:textId="342DD5F6" w:rsidR="00304FF3" w:rsidRDefault="00304FF3" w:rsidP="00FB5C29">
      <w:pPr>
        <w:jc w:val="both"/>
        <w:outlineLvl w:val="0"/>
        <w:rPr>
          <w:bCs/>
          <w:sz w:val="24"/>
        </w:rPr>
      </w:pPr>
    </w:p>
    <w:sectPr w:rsidR="00304FF3" w:rsidSect="00C9140D"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A07D" w14:textId="77777777" w:rsidR="007F4385" w:rsidRDefault="007F4385" w:rsidP="004F2596">
      <w:r>
        <w:separator/>
      </w:r>
    </w:p>
  </w:endnote>
  <w:endnote w:type="continuationSeparator" w:id="0">
    <w:p w14:paraId="55CE4E14" w14:textId="77777777" w:rsidR="007F4385" w:rsidRDefault="007F4385" w:rsidP="004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5A6F" w14:textId="77777777" w:rsidR="007F4385" w:rsidRDefault="007F4385" w:rsidP="004F2596">
      <w:r>
        <w:separator/>
      </w:r>
    </w:p>
  </w:footnote>
  <w:footnote w:type="continuationSeparator" w:id="0">
    <w:p w14:paraId="3B407165" w14:textId="77777777" w:rsidR="007F4385" w:rsidRDefault="007F4385" w:rsidP="004F2596">
      <w:r>
        <w:continuationSeparator/>
      </w:r>
    </w:p>
  </w:footnote>
  <w:footnote w:id="1">
    <w:p w14:paraId="692CFBEC" w14:textId="5924F0C6" w:rsidR="006C1226" w:rsidRDefault="006C1226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vzdělávací akce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0F845F2"/>
    <w:multiLevelType w:val="hybridMultilevel"/>
    <w:tmpl w:val="F36286AC"/>
    <w:lvl w:ilvl="0" w:tplc="9F6459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20"/>
  </w:num>
  <w:num w:numId="9">
    <w:abstractNumId w:val="18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5"/>
  </w:num>
  <w:num w:numId="18">
    <w:abstractNumId w:val="12"/>
  </w:num>
  <w:num w:numId="19">
    <w:abstractNumId w:val="11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74"/>
    <w:rsid w:val="000002B5"/>
    <w:rsid w:val="00001656"/>
    <w:rsid w:val="00004179"/>
    <w:rsid w:val="000049E8"/>
    <w:rsid w:val="0001515F"/>
    <w:rsid w:val="00022AB8"/>
    <w:rsid w:val="000252C5"/>
    <w:rsid w:val="000305FA"/>
    <w:rsid w:val="00041F38"/>
    <w:rsid w:val="000470E4"/>
    <w:rsid w:val="00053C11"/>
    <w:rsid w:val="00054EE5"/>
    <w:rsid w:val="00057966"/>
    <w:rsid w:val="00063571"/>
    <w:rsid w:val="000721F1"/>
    <w:rsid w:val="000732AF"/>
    <w:rsid w:val="0008116C"/>
    <w:rsid w:val="0008535A"/>
    <w:rsid w:val="00087260"/>
    <w:rsid w:val="000908D9"/>
    <w:rsid w:val="00091096"/>
    <w:rsid w:val="00091D1D"/>
    <w:rsid w:val="000946E8"/>
    <w:rsid w:val="000966D5"/>
    <w:rsid w:val="00097278"/>
    <w:rsid w:val="000A79EC"/>
    <w:rsid w:val="000B2F2D"/>
    <w:rsid w:val="000B37DC"/>
    <w:rsid w:val="000B5B2F"/>
    <w:rsid w:val="000B5F54"/>
    <w:rsid w:val="000C03C5"/>
    <w:rsid w:val="000C39E5"/>
    <w:rsid w:val="000D10E7"/>
    <w:rsid w:val="000D5302"/>
    <w:rsid w:val="000D56BD"/>
    <w:rsid w:val="000E14E5"/>
    <w:rsid w:val="000E4BBF"/>
    <w:rsid w:val="000E5B46"/>
    <w:rsid w:val="000F2D02"/>
    <w:rsid w:val="000F391B"/>
    <w:rsid w:val="000F3A3F"/>
    <w:rsid w:val="000F406C"/>
    <w:rsid w:val="000F4483"/>
    <w:rsid w:val="000F5470"/>
    <w:rsid w:val="000F70BE"/>
    <w:rsid w:val="000F72B4"/>
    <w:rsid w:val="00103141"/>
    <w:rsid w:val="00103A50"/>
    <w:rsid w:val="00104F2A"/>
    <w:rsid w:val="00105D95"/>
    <w:rsid w:val="00106A9B"/>
    <w:rsid w:val="00112218"/>
    <w:rsid w:val="0011280A"/>
    <w:rsid w:val="001163E2"/>
    <w:rsid w:val="0012727B"/>
    <w:rsid w:val="00127A7D"/>
    <w:rsid w:val="00131638"/>
    <w:rsid w:val="00135105"/>
    <w:rsid w:val="00140B95"/>
    <w:rsid w:val="00147338"/>
    <w:rsid w:val="001508DA"/>
    <w:rsid w:val="00153D8B"/>
    <w:rsid w:val="001559F1"/>
    <w:rsid w:val="00167903"/>
    <w:rsid w:val="00167B56"/>
    <w:rsid w:val="00167FA3"/>
    <w:rsid w:val="0017159A"/>
    <w:rsid w:val="001821C8"/>
    <w:rsid w:val="001827F2"/>
    <w:rsid w:val="00183A49"/>
    <w:rsid w:val="00185AE2"/>
    <w:rsid w:val="001873F3"/>
    <w:rsid w:val="00192317"/>
    <w:rsid w:val="00193EB6"/>
    <w:rsid w:val="00196D59"/>
    <w:rsid w:val="00196EC4"/>
    <w:rsid w:val="001A1E25"/>
    <w:rsid w:val="001A7AEE"/>
    <w:rsid w:val="001B6CA7"/>
    <w:rsid w:val="001B7E3E"/>
    <w:rsid w:val="001C1881"/>
    <w:rsid w:val="001C237E"/>
    <w:rsid w:val="001D3895"/>
    <w:rsid w:val="001E1A5D"/>
    <w:rsid w:val="001E675A"/>
    <w:rsid w:val="001E79F1"/>
    <w:rsid w:val="001F3511"/>
    <w:rsid w:val="001F655A"/>
    <w:rsid w:val="001F79E6"/>
    <w:rsid w:val="0020014E"/>
    <w:rsid w:val="00203878"/>
    <w:rsid w:val="00204AC2"/>
    <w:rsid w:val="0020639C"/>
    <w:rsid w:val="0020796C"/>
    <w:rsid w:val="00210933"/>
    <w:rsid w:val="002131DE"/>
    <w:rsid w:val="002145D9"/>
    <w:rsid w:val="00214AA1"/>
    <w:rsid w:val="00215039"/>
    <w:rsid w:val="00215E54"/>
    <w:rsid w:val="0021633C"/>
    <w:rsid w:val="0021796F"/>
    <w:rsid w:val="00220D7E"/>
    <w:rsid w:val="002249A2"/>
    <w:rsid w:val="00225740"/>
    <w:rsid w:val="00231355"/>
    <w:rsid w:val="00241DB2"/>
    <w:rsid w:val="00245387"/>
    <w:rsid w:val="002503C2"/>
    <w:rsid w:val="002511C3"/>
    <w:rsid w:val="00253C76"/>
    <w:rsid w:val="002540CE"/>
    <w:rsid w:val="002649AC"/>
    <w:rsid w:val="00266E99"/>
    <w:rsid w:val="0027193A"/>
    <w:rsid w:val="00271CD5"/>
    <w:rsid w:val="00274E3C"/>
    <w:rsid w:val="002761B6"/>
    <w:rsid w:val="002766F8"/>
    <w:rsid w:val="00276DE1"/>
    <w:rsid w:val="0028026E"/>
    <w:rsid w:val="00285CAE"/>
    <w:rsid w:val="00290048"/>
    <w:rsid w:val="00291D59"/>
    <w:rsid w:val="0029624F"/>
    <w:rsid w:val="00297A5C"/>
    <w:rsid w:val="002A049B"/>
    <w:rsid w:val="002A21D9"/>
    <w:rsid w:val="002A3296"/>
    <w:rsid w:val="002B2891"/>
    <w:rsid w:val="002B45B0"/>
    <w:rsid w:val="002B56DE"/>
    <w:rsid w:val="002B69BC"/>
    <w:rsid w:val="002C0CA1"/>
    <w:rsid w:val="002D43D0"/>
    <w:rsid w:val="002D5019"/>
    <w:rsid w:val="002E48D2"/>
    <w:rsid w:val="002E55B8"/>
    <w:rsid w:val="002E5BAB"/>
    <w:rsid w:val="002F035D"/>
    <w:rsid w:val="002F0BE1"/>
    <w:rsid w:val="002F0C4C"/>
    <w:rsid w:val="00304FF3"/>
    <w:rsid w:val="00305AC3"/>
    <w:rsid w:val="00305B5B"/>
    <w:rsid w:val="0031545C"/>
    <w:rsid w:val="00317C12"/>
    <w:rsid w:val="003200B2"/>
    <w:rsid w:val="003207AF"/>
    <w:rsid w:val="00321451"/>
    <w:rsid w:val="0032475C"/>
    <w:rsid w:val="003265BA"/>
    <w:rsid w:val="00330B37"/>
    <w:rsid w:val="00333C1B"/>
    <w:rsid w:val="00335173"/>
    <w:rsid w:val="003456D3"/>
    <w:rsid w:val="00346FCB"/>
    <w:rsid w:val="0036320D"/>
    <w:rsid w:val="00371F48"/>
    <w:rsid w:val="003733DB"/>
    <w:rsid w:val="00374271"/>
    <w:rsid w:val="00376C79"/>
    <w:rsid w:val="003807FE"/>
    <w:rsid w:val="00385617"/>
    <w:rsid w:val="003940D6"/>
    <w:rsid w:val="003946CB"/>
    <w:rsid w:val="0039693A"/>
    <w:rsid w:val="003A2575"/>
    <w:rsid w:val="003A2FDF"/>
    <w:rsid w:val="003A3393"/>
    <w:rsid w:val="003A3749"/>
    <w:rsid w:val="003A47B2"/>
    <w:rsid w:val="003B2D70"/>
    <w:rsid w:val="003B5CC3"/>
    <w:rsid w:val="003C30F3"/>
    <w:rsid w:val="003C60A1"/>
    <w:rsid w:val="003C6229"/>
    <w:rsid w:val="003D4377"/>
    <w:rsid w:val="003D6E9C"/>
    <w:rsid w:val="003E1A7E"/>
    <w:rsid w:val="003E2319"/>
    <w:rsid w:val="003F2F88"/>
    <w:rsid w:val="003F42AC"/>
    <w:rsid w:val="004009DC"/>
    <w:rsid w:val="004020A7"/>
    <w:rsid w:val="00403D69"/>
    <w:rsid w:val="0041611A"/>
    <w:rsid w:val="004161ED"/>
    <w:rsid w:val="00420A70"/>
    <w:rsid w:val="004213FF"/>
    <w:rsid w:val="00424331"/>
    <w:rsid w:val="004255EC"/>
    <w:rsid w:val="004257DF"/>
    <w:rsid w:val="00426D85"/>
    <w:rsid w:val="00432B3F"/>
    <w:rsid w:val="00434C7C"/>
    <w:rsid w:val="00435CB5"/>
    <w:rsid w:val="00437FCF"/>
    <w:rsid w:val="00440334"/>
    <w:rsid w:val="004412D7"/>
    <w:rsid w:val="00441899"/>
    <w:rsid w:val="00445432"/>
    <w:rsid w:val="0045158C"/>
    <w:rsid w:val="00462934"/>
    <w:rsid w:val="00473FCB"/>
    <w:rsid w:val="00475FD3"/>
    <w:rsid w:val="0048041B"/>
    <w:rsid w:val="00482E2C"/>
    <w:rsid w:val="00491D48"/>
    <w:rsid w:val="004A4C1E"/>
    <w:rsid w:val="004A5CF9"/>
    <w:rsid w:val="004A7B1C"/>
    <w:rsid w:val="004B1A6E"/>
    <w:rsid w:val="004B213B"/>
    <w:rsid w:val="004B245B"/>
    <w:rsid w:val="004B3B26"/>
    <w:rsid w:val="004B5F61"/>
    <w:rsid w:val="004B74D8"/>
    <w:rsid w:val="004C32D6"/>
    <w:rsid w:val="004D19A8"/>
    <w:rsid w:val="004F2596"/>
    <w:rsid w:val="004F7243"/>
    <w:rsid w:val="0050183F"/>
    <w:rsid w:val="00503FD1"/>
    <w:rsid w:val="00504292"/>
    <w:rsid w:val="00506C50"/>
    <w:rsid w:val="00507108"/>
    <w:rsid w:val="005128BB"/>
    <w:rsid w:val="0051499F"/>
    <w:rsid w:val="00515764"/>
    <w:rsid w:val="00515967"/>
    <w:rsid w:val="00521C42"/>
    <w:rsid w:val="005241D0"/>
    <w:rsid w:val="005264FC"/>
    <w:rsid w:val="005279F1"/>
    <w:rsid w:val="00527B4F"/>
    <w:rsid w:val="005428BF"/>
    <w:rsid w:val="005454BB"/>
    <w:rsid w:val="0054781C"/>
    <w:rsid w:val="00550B5D"/>
    <w:rsid w:val="00553BE6"/>
    <w:rsid w:val="00565CDF"/>
    <w:rsid w:val="005667BB"/>
    <w:rsid w:val="00571504"/>
    <w:rsid w:val="005732D3"/>
    <w:rsid w:val="00584F06"/>
    <w:rsid w:val="005A2FCB"/>
    <w:rsid w:val="005A340F"/>
    <w:rsid w:val="005A6CC3"/>
    <w:rsid w:val="005B22FE"/>
    <w:rsid w:val="005B6B68"/>
    <w:rsid w:val="005C2AFC"/>
    <w:rsid w:val="005C4E83"/>
    <w:rsid w:val="005D0A72"/>
    <w:rsid w:val="005D1738"/>
    <w:rsid w:val="005D338F"/>
    <w:rsid w:val="005E146D"/>
    <w:rsid w:val="005E1CB0"/>
    <w:rsid w:val="005F1DC5"/>
    <w:rsid w:val="00600E01"/>
    <w:rsid w:val="0060271C"/>
    <w:rsid w:val="006049C9"/>
    <w:rsid w:val="00612213"/>
    <w:rsid w:val="0061454A"/>
    <w:rsid w:val="00614A4D"/>
    <w:rsid w:val="00631420"/>
    <w:rsid w:val="00631651"/>
    <w:rsid w:val="00632E3B"/>
    <w:rsid w:val="00640D21"/>
    <w:rsid w:val="00642460"/>
    <w:rsid w:val="006541CD"/>
    <w:rsid w:val="0066094B"/>
    <w:rsid w:val="00661CDF"/>
    <w:rsid w:val="006653DA"/>
    <w:rsid w:val="0066712C"/>
    <w:rsid w:val="00670563"/>
    <w:rsid w:val="006718B7"/>
    <w:rsid w:val="00672118"/>
    <w:rsid w:val="00673533"/>
    <w:rsid w:val="006744C6"/>
    <w:rsid w:val="00677E8F"/>
    <w:rsid w:val="006806F6"/>
    <w:rsid w:val="00681368"/>
    <w:rsid w:val="006823A8"/>
    <w:rsid w:val="00685382"/>
    <w:rsid w:val="00687201"/>
    <w:rsid w:val="00691537"/>
    <w:rsid w:val="00695A59"/>
    <w:rsid w:val="006A2178"/>
    <w:rsid w:val="006A38F7"/>
    <w:rsid w:val="006B47E2"/>
    <w:rsid w:val="006B7B60"/>
    <w:rsid w:val="006C0345"/>
    <w:rsid w:val="006C1226"/>
    <w:rsid w:val="006C56D9"/>
    <w:rsid w:val="006C56E0"/>
    <w:rsid w:val="006D093C"/>
    <w:rsid w:val="006D643C"/>
    <w:rsid w:val="006D664C"/>
    <w:rsid w:val="006E025B"/>
    <w:rsid w:val="006E5E18"/>
    <w:rsid w:val="006F1178"/>
    <w:rsid w:val="006F5D7F"/>
    <w:rsid w:val="006F7A24"/>
    <w:rsid w:val="00706D0D"/>
    <w:rsid w:val="007103D6"/>
    <w:rsid w:val="00710C53"/>
    <w:rsid w:val="00712426"/>
    <w:rsid w:val="00716162"/>
    <w:rsid w:val="00716CE9"/>
    <w:rsid w:val="0071767D"/>
    <w:rsid w:val="007227FD"/>
    <w:rsid w:val="007231CD"/>
    <w:rsid w:val="00723817"/>
    <w:rsid w:val="007239A3"/>
    <w:rsid w:val="00727AB6"/>
    <w:rsid w:val="00741B62"/>
    <w:rsid w:val="007423E9"/>
    <w:rsid w:val="00742DAA"/>
    <w:rsid w:val="007511C5"/>
    <w:rsid w:val="00760183"/>
    <w:rsid w:val="007755A8"/>
    <w:rsid w:val="00777CBB"/>
    <w:rsid w:val="0078436F"/>
    <w:rsid w:val="00786700"/>
    <w:rsid w:val="00792A6A"/>
    <w:rsid w:val="00795AA9"/>
    <w:rsid w:val="00796098"/>
    <w:rsid w:val="007A0AD1"/>
    <w:rsid w:val="007A21D4"/>
    <w:rsid w:val="007A6DCE"/>
    <w:rsid w:val="007A6E09"/>
    <w:rsid w:val="007B1437"/>
    <w:rsid w:val="007B1B9E"/>
    <w:rsid w:val="007B581F"/>
    <w:rsid w:val="007D0503"/>
    <w:rsid w:val="007F10D6"/>
    <w:rsid w:val="007F2625"/>
    <w:rsid w:val="007F3583"/>
    <w:rsid w:val="007F39F0"/>
    <w:rsid w:val="007F3B27"/>
    <w:rsid w:val="007F4385"/>
    <w:rsid w:val="007F4EB1"/>
    <w:rsid w:val="008003CB"/>
    <w:rsid w:val="00800569"/>
    <w:rsid w:val="0080093A"/>
    <w:rsid w:val="00802505"/>
    <w:rsid w:val="008043FA"/>
    <w:rsid w:val="008121D5"/>
    <w:rsid w:val="008141A1"/>
    <w:rsid w:val="00817232"/>
    <w:rsid w:val="00817ED7"/>
    <w:rsid w:val="00821A96"/>
    <w:rsid w:val="00823C75"/>
    <w:rsid w:val="00825DF6"/>
    <w:rsid w:val="00832B18"/>
    <w:rsid w:val="00840269"/>
    <w:rsid w:val="00845E9C"/>
    <w:rsid w:val="008466D9"/>
    <w:rsid w:val="008467C3"/>
    <w:rsid w:val="00854050"/>
    <w:rsid w:val="00854061"/>
    <w:rsid w:val="00857B5B"/>
    <w:rsid w:val="00857C4B"/>
    <w:rsid w:val="00860DA2"/>
    <w:rsid w:val="00864E74"/>
    <w:rsid w:val="00865C21"/>
    <w:rsid w:val="00865E05"/>
    <w:rsid w:val="00866578"/>
    <w:rsid w:val="00875025"/>
    <w:rsid w:val="008756F9"/>
    <w:rsid w:val="008761B6"/>
    <w:rsid w:val="00887513"/>
    <w:rsid w:val="00893B1A"/>
    <w:rsid w:val="00895995"/>
    <w:rsid w:val="008A0352"/>
    <w:rsid w:val="008A1B46"/>
    <w:rsid w:val="008B0F46"/>
    <w:rsid w:val="008C219F"/>
    <w:rsid w:val="008C2DC7"/>
    <w:rsid w:val="008D21C2"/>
    <w:rsid w:val="008D3746"/>
    <w:rsid w:val="008D46E8"/>
    <w:rsid w:val="008D4ACB"/>
    <w:rsid w:val="008D5162"/>
    <w:rsid w:val="008D5F08"/>
    <w:rsid w:val="008E1B78"/>
    <w:rsid w:val="008E50E1"/>
    <w:rsid w:val="009046D0"/>
    <w:rsid w:val="0091082B"/>
    <w:rsid w:val="00912016"/>
    <w:rsid w:val="00914CEE"/>
    <w:rsid w:val="0092094A"/>
    <w:rsid w:val="00922BF7"/>
    <w:rsid w:val="00923634"/>
    <w:rsid w:val="00923A4F"/>
    <w:rsid w:val="009247E0"/>
    <w:rsid w:val="00925F1D"/>
    <w:rsid w:val="00927A78"/>
    <w:rsid w:val="009301C0"/>
    <w:rsid w:val="009307FC"/>
    <w:rsid w:val="009313A4"/>
    <w:rsid w:val="00944429"/>
    <w:rsid w:val="0095253F"/>
    <w:rsid w:val="009559D8"/>
    <w:rsid w:val="00955C55"/>
    <w:rsid w:val="00956F6D"/>
    <w:rsid w:val="00957D74"/>
    <w:rsid w:val="009601DF"/>
    <w:rsid w:val="00963CF9"/>
    <w:rsid w:val="009656C1"/>
    <w:rsid w:val="00965D43"/>
    <w:rsid w:val="00966E2C"/>
    <w:rsid w:val="0096750A"/>
    <w:rsid w:val="00971A87"/>
    <w:rsid w:val="00972000"/>
    <w:rsid w:val="0097419F"/>
    <w:rsid w:val="00974FB9"/>
    <w:rsid w:val="009807BB"/>
    <w:rsid w:val="00986905"/>
    <w:rsid w:val="009871F0"/>
    <w:rsid w:val="00992924"/>
    <w:rsid w:val="00995DED"/>
    <w:rsid w:val="00997F3B"/>
    <w:rsid w:val="009A17DB"/>
    <w:rsid w:val="009A2AC4"/>
    <w:rsid w:val="009A5CC4"/>
    <w:rsid w:val="009B01B8"/>
    <w:rsid w:val="009B04CC"/>
    <w:rsid w:val="009B417B"/>
    <w:rsid w:val="009B4271"/>
    <w:rsid w:val="009B47B7"/>
    <w:rsid w:val="009B5EC9"/>
    <w:rsid w:val="009B6ADA"/>
    <w:rsid w:val="009B767E"/>
    <w:rsid w:val="009C00F3"/>
    <w:rsid w:val="009C53DD"/>
    <w:rsid w:val="009C7B51"/>
    <w:rsid w:val="009C7F75"/>
    <w:rsid w:val="009D01D4"/>
    <w:rsid w:val="009D104A"/>
    <w:rsid w:val="009D2A3C"/>
    <w:rsid w:val="009D3720"/>
    <w:rsid w:val="009D66E4"/>
    <w:rsid w:val="009E3640"/>
    <w:rsid w:val="009F11BD"/>
    <w:rsid w:val="009F795D"/>
    <w:rsid w:val="00A0177C"/>
    <w:rsid w:val="00A14859"/>
    <w:rsid w:val="00A22645"/>
    <w:rsid w:val="00A24737"/>
    <w:rsid w:val="00A327F3"/>
    <w:rsid w:val="00A40B54"/>
    <w:rsid w:val="00A42520"/>
    <w:rsid w:val="00A4637F"/>
    <w:rsid w:val="00A46F52"/>
    <w:rsid w:val="00A50961"/>
    <w:rsid w:val="00A523AC"/>
    <w:rsid w:val="00A60480"/>
    <w:rsid w:val="00A6313C"/>
    <w:rsid w:val="00A63E04"/>
    <w:rsid w:val="00A70B48"/>
    <w:rsid w:val="00A71A33"/>
    <w:rsid w:val="00A72F55"/>
    <w:rsid w:val="00A76384"/>
    <w:rsid w:val="00A8548F"/>
    <w:rsid w:val="00A92D25"/>
    <w:rsid w:val="00A93770"/>
    <w:rsid w:val="00AA4D3A"/>
    <w:rsid w:val="00AA6A1D"/>
    <w:rsid w:val="00AB070E"/>
    <w:rsid w:val="00AB301B"/>
    <w:rsid w:val="00AB4B33"/>
    <w:rsid w:val="00AB4F00"/>
    <w:rsid w:val="00AB5603"/>
    <w:rsid w:val="00AB6CAA"/>
    <w:rsid w:val="00AB78CC"/>
    <w:rsid w:val="00AC5BD4"/>
    <w:rsid w:val="00AC7DBD"/>
    <w:rsid w:val="00AE0716"/>
    <w:rsid w:val="00AE28DF"/>
    <w:rsid w:val="00AE4161"/>
    <w:rsid w:val="00AE7E0B"/>
    <w:rsid w:val="00AF2C1A"/>
    <w:rsid w:val="00AF74D5"/>
    <w:rsid w:val="00B00838"/>
    <w:rsid w:val="00B008E5"/>
    <w:rsid w:val="00B14CDC"/>
    <w:rsid w:val="00B15779"/>
    <w:rsid w:val="00B206C3"/>
    <w:rsid w:val="00B20BDE"/>
    <w:rsid w:val="00B25487"/>
    <w:rsid w:val="00B257D4"/>
    <w:rsid w:val="00B313A5"/>
    <w:rsid w:val="00B4097F"/>
    <w:rsid w:val="00B41FAD"/>
    <w:rsid w:val="00B458E0"/>
    <w:rsid w:val="00B54043"/>
    <w:rsid w:val="00B60744"/>
    <w:rsid w:val="00B65F7A"/>
    <w:rsid w:val="00B70729"/>
    <w:rsid w:val="00B80E9A"/>
    <w:rsid w:val="00B818DD"/>
    <w:rsid w:val="00B8283F"/>
    <w:rsid w:val="00B839B3"/>
    <w:rsid w:val="00B90950"/>
    <w:rsid w:val="00B9268B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D4CB0"/>
    <w:rsid w:val="00BD7290"/>
    <w:rsid w:val="00BE174D"/>
    <w:rsid w:val="00BE179C"/>
    <w:rsid w:val="00BE5A0C"/>
    <w:rsid w:val="00BE72EA"/>
    <w:rsid w:val="00BF2C51"/>
    <w:rsid w:val="00BF6476"/>
    <w:rsid w:val="00C00369"/>
    <w:rsid w:val="00C00928"/>
    <w:rsid w:val="00C03549"/>
    <w:rsid w:val="00C04327"/>
    <w:rsid w:val="00C13B14"/>
    <w:rsid w:val="00C14923"/>
    <w:rsid w:val="00C17F6F"/>
    <w:rsid w:val="00C20202"/>
    <w:rsid w:val="00C20A1F"/>
    <w:rsid w:val="00C20E68"/>
    <w:rsid w:val="00C23B35"/>
    <w:rsid w:val="00C24808"/>
    <w:rsid w:val="00C31260"/>
    <w:rsid w:val="00C3156A"/>
    <w:rsid w:val="00C32939"/>
    <w:rsid w:val="00C42BDA"/>
    <w:rsid w:val="00C46FF3"/>
    <w:rsid w:val="00C51B15"/>
    <w:rsid w:val="00C534DC"/>
    <w:rsid w:val="00C53A89"/>
    <w:rsid w:val="00C540CA"/>
    <w:rsid w:val="00C6465E"/>
    <w:rsid w:val="00C66E7A"/>
    <w:rsid w:val="00C74BA5"/>
    <w:rsid w:val="00C74C42"/>
    <w:rsid w:val="00C771CF"/>
    <w:rsid w:val="00C772C5"/>
    <w:rsid w:val="00C85360"/>
    <w:rsid w:val="00C876C5"/>
    <w:rsid w:val="00C9140D"/>
    <w:rsid w:val="00C926E5"/>
    <w:rsid w:val="00C94590"/>
    <w:rsid w:val="00C97CAD"/>
    <w:rsid w:val="00CA002F"/>
    <w:rsid w:val="00CA062E"/>
    <w:rsid w:val="00CA3DEF"/>
    <w:rsid w:val="00CA40C9"/>
    <w:rsid w:val="00CA57D4"/>
    <w:rsid w:val="00CB6646"/>
    <w:rsid w:val="00CC5152"/>
    <w:rsid w:val="00CD0A1F"/>
    <w:rsid w:val="00CD1676"/>
    <w:rsid w:val="00CD2BC3"/>
    <w:rsid w:val="00CD2DBC"/>
    <w:rsid w:val="00CD42F6"/>
    <w:rsid w:val="00CE27C6"/>
    <w:rsid w:val="00CE645C"/>
    <w:rsid w:val="00CF094E"/>
    <w:rsid w:val="00CF3B5A"/>
    <w:rsid w:val="00CF53D9"/>
    <w:rsid w:val="00CF67AC"/>
    <w:rsid w:val="00D0229D"/>
    <w:rsid w:val="00D04E6A"/>
    <w:rsid w:val="00D10431"/>
    <w:rsid w:val="00D142F5"/>
    <w:rsid w:val="00D1495E"/>
    <w:rsid w:val="00D176FB"/>
    <w:rsid w:val="00D24430"/>
    <w:rsid w:val="00D41A27"/>
    <w:rsid w:val="00D41ED5"/>
    <w:rsid w:val="00D45BC5"/>
    <w:rsid w:val="00D466B4"/>
    <w:rsid w:val="00D52779"/>
    <w:rsid w:val="00D53B39"/>
    <w:rsid w:val="00D569E0"/>
    <w:rsid w:val="00D63A52"/>
    <w:rsid w:val="00D64A29"/>
    <w:rsid w:val="00D75790"/>
    <w:rsid w:val="00D81A50"/>
    <w:rsid w:val="00D9658E"/>
    <w:rsid w:val="00DA0A08"/>
    <w:rsid w:val="00DA4980"/>
    <w:rsid w:val="00DA539F"/>
    <w:rsid w:val="00DB2C18"/>
    <w:rsid w:val="00DB457C"/>
    <w:rsid w:val="00DC2AB7"/>
    <w:rsid w:val="00DC600D"/>
    <w:rsid w:val="00DC6AEC"/>
    <w:rsid w:val="00DD18D4"/>
    <w:rsid w:val="00DE0392"/>
    <w:rsid w:val="00DE0B4C"/>
    <w:rsid w:val="00DE0CF9"/>
    <w:rsid w:val="00DE2450"/>
    <w:rsid w:val="00DE32AD"/>
    <w:rsid w:val="00DE541A"/>
    <w:rsid w:val="00DE5988"/>
    <w:rsid w:val="00DE5AE7"/>
    <w:rsid w:val="00DE623D"/>
    <w:rsid w:val="00DE7166"/>
    <w:rsid w:val="00DF2047"/>
    <w:rsid w:val="00DF5E65"/>
    <w:rsid w:val="00DF6127"/>
    <w:rsid w:val="00DF7E6D"/>
    <w:rsid w:val="00E01787"/>
    <w:rsid w:val="00E01E30"/>
    <w:rsid w:val="00E05F64"/>
    <w:rsid w:val="00E11CB9"/>
    <w:rsid w:val="00E13BF3"/>
    <w:rsid w:val="00E140EE"/>
    <w:rsid w:val="00E14451"/>
    <w:rsid w:val="00E16600"/>
    <w:rsid w:val="00E33476"/>
    <w:rsid w:val="00E34468"/>
    <w:rsid w:val="00E35F85"/>
    <w:rsid w:val="00E41250"/>
    <w:rsid w:val="00E45C28"/>
    <w:rsid w:val="00E5484D"/>
    <w:rsid w:val="00E653CC"/>
    <w:rsid w:val="00E70103"/>
    <w:rsid w:val="00E7049C"/>
    <w:rsid w:val="00E737BA"/>
    <w:rsid w:val="00E74029"/>
    <w:rsid w:val="00E743C2"/>
    <w:rsid w:val="00E80AC1"/>
    <w:rsid w:val="00E81F40"/>
    <w:rsid w:val="00E82ECF"/>
    <w:rsid w:val="00E8383B"/>
    <w:rsid w:val="00E914A5"/>
    <w:rsid w:val="00E92666"/>
    <w:rsid w:val="00E936CA"/>
    <w:rsid w:val="00E9638A"/>
    <w:rsid w:val="00EB0CED"/>
    <w:rsid w:val="00EB1CFE"/>
    <w:rsid w:val="00EB50C1"/>
    <w:rsid w:val="00EC028C"/>
    <w:rsid w:val="00EC1AE8"/>
    <w:rsid w:val="00EC2ACB"/>
    <w:rsid w:val="00EC4CB8"/>
    <w:rsid w:val="00ED478B"/>
    <w:rsid w:val="00ED6D6E"/>
    <w:rsid w:val="00EE04AC"/>
    <w:rsid w:val="00EE0CE5"/>
    <w:rsid w:val="00EE330F"/>
    <w:rsid w:val="00EE6894"/>
    <w:rsid w:val="00EE7F58"/>
    <w:rsid w:val="00F0222B"/>
    <w:rsid w:val="00F0515C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2681"/>
    <w:rsid w:val="00F86788"/>
    <w:rsid w:val="00F91886"/>
    <w:rsid w:val="00F9672F"/>
    <w:rsid w:val="00F972FC"/>
    <w:rsid w:val="00F97E3F"/>
    <w:rsid w:val="00FA5D33"/>
    <w:rsid w:val="00FA7468"/>
    <w:rsid w:val="00FB1224"/>
    <w:rsid w:val="00FB2964"/>
    <w:rsid w:val="00FB38F1"/>
    <w:rsid w:val="00FB5C29"/>
    <w:rsid w:val="00FB6227"/>
    <w:rsid w:val="00FB6AF7"/>
    <w:rsid w:val="00FC3DB6"/>
    <w:rsid w:val="00FC7774"/>
    <w:rsid w:val="00FD55AE"/>
    <w:rsid w:val="00FD669B"/>
    <w:rsid w:val="00FD7A27"/>
    <w:rsid w:val="00FE00C4"/>
    <w:rsid w:val="00FE14DE"/>
    <w:rsid w:val="00FE7D7A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E"/>
  <w15:docId w15:val="{CAA7617C-FD53-4453-8905-A5E9FA77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F2596"/>
  </w:style>
  <w:style w:type="character" w:customStyle="1" w:styleId="TextpoznpodarouChar">
    <w:name w:val="Text pozn. pod čarou Char"/>
    <w:basedOn w:val="Standardnpsmoodstavce"/>
    <w:link w:val="Textpoznpodarou"/>
    <w:semiHidden/>
    <w:rsid w:val="004F2596"/>
  </w:style>
  <w:style w:type="character" w:styleId="Znakapoznpodarou">
    <w:name w:val="footnote reference"/>
    <w:basedOn w:val="Standardnpsmoodstavce"/>
    <w:semiHidden/>
    <w:unhideWhenUsed/>
    <w:rsid w:val="004F259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D43D0"/>
    <w:pPr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D182-5E13-4DD2-9E6B-5555C885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7215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Doležalová Pavlína</cp:lastModifiedBy>
  <cp:revision>3</cp:revision>
  <cp:lastPrinted>2020-02-05T14:11:00Z</cp:lastPrinted>
  <dcterms:created xsi:type="dcterms:W3CDTF">2025-02-26T16:13:00Z</dcterms:created>
  <dcterms:modified xsi:type="dcterms:W3CDTF">2025-03-13T08:35:00Z</dcterms:modified>
</cp:coreProperties>
</file>