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026" w:rsidRDefault="00644217">
      <w:pPr>
        <w:pStyle w:val="Nzev"/>
      </w:pPr>
      <w:r>
        <w:t>ZÁPIS z jednání komise</w:t>
      </w:r>
    </w:p>
    <w:p w:rsidR="00722026" w:rsidRDefault="00644217">
      <w:pPr>
        <w:ind w:firstLine="851"/>
        <w:jc w:val="center"/>
        <w:rPr>
          <w:sz w:val="32"/>
        </w:rPr>
      </w:pPr>
      <w:r>
        <w:rPr>
          <w:sz w:val="32"/>
        </w:rPr>
        <w:t>Programu Veřejné informační služby knihoven (VISK) 5</w:t>
      </w:r>
    </w:p>
    <w:p w:rsidR="00722026" w:rsidRDefault="00644217">
      <w:pPr>
        <w:jc w:val="center"/>
        <w:rPr>
          <w:sz w:val="32"/>
        </w:rPr>
      </w:pPr>
      <w:r>
        <w:rPr>
          <w:sz w:val="32"/>
        </w:rPr>
        <w:t>dne 8. 2. 2019, MK</w:t>
      </w:r>
    </w:p>
    <w:p w:rsidR="00722026" w:rsidRDefault="00722026">
      <w:pPr>
        <w:jc w:val="center"/>
        <w:rPr>
          <w:b/>
          <w:sz w:val="28"/>
        </w:rPr>
      </w:pPr>
    </w:p>
    <w:p w:rsidR="00722026" w:rsidRDefault="00644217">
      <w:pPr>
        <w:jc w:val="both"/>
        <w:rPr>
          <w:sz w:val="24"/>
        </w:rPr>
      </w:pPr>
      <w:r>
        <w:rPr>
          <w:b/>
          <w:sz w:val="24"/>
        </w:rPr>
        <w:t>Přítomni:</w:t>
      </w:r>
      <w:r>
        <w:rPr>
          <w:sz w:val="24"/>
        </w:rPr>
        <w:t xml:space="preserve"> Šárka Baťková (SVK Ústí nad Labem), Bc. Šárka Bláhová (Knihovna UPM v Praze), Bc. Zuzana Hartmanová (MěK v Praze), Mgr. Hana Hornychová (SVK Hradec Králové), Mgr. Lenka Maixnerová (NLK), Mgr. Nataša Mikšovská (NK ČR), Mgr. Petra Miturová (MK), PhDr. Jaros</w:t>
      </w:r>
      <w:r>
        <w:rPr>
          <w:sz w:val="24"/>
        </w:rPr>
        <w:t>lava Svobodová (NK ČR), Mgr. Eva Tauwinklová (MZK Brno), Helena Trinkewitzová (KNAV), Mgr. Veronika Valentová (MZM).</w:t>
      </w:r>
    </w:p>
    <w:p w:rsidR="00722026" w:rsidRDefault="00722026">
      <w:pPr>
        <w:pBdr>
          <w:bottom w:val="single" w:sz="12" w:space="1" w:color="000000"/>
        </w:pBdr>
        <w:jc w:val="both"/>
        <w:rPr>
          <w:sz w:val="24"/>
        </w:rPr>
      </w:pPr>
    </w:p>
    <w:p w:rsidR="00722026" w:rsidRDefault="00722026">
      <w:pPr>
        <w:jc w:val="both"/>
        <w:rPr>
          <w:sz w:val="24"/>
        </w:rPr>
      </w:pPr>
    </w:p>
    <w:p w:rsidR="00722026" w:rsidRDefault="00644217">
      <w:pPr>
        <w:jc w:val="both"/>
        <w:rPr>
          <w:b/>
          <w:sz w:val="24"/>
        </w:rPr>
      </w:pPr>
      <w:r>
        <w:rPr>
          <w:b/>
          <w:sz w:val="24"/>
        </w:rPr>
        <w:t>1. Zahájení a volba předsednictva:</w:t>
      </w:r>
    </w:p>
    <w:p w:rsidR="00722026" w:rsidRDefault="00644217">
      <w:pPr>
        <w:jc w:val="both"/>
        <w:rPr>
          <w:sz w:val="24"/>
          <w:szCs w:val="24"/>
        </w:rPr>
      </w:pPr>
      <w:r>
        <w:rPr>
          <w:sz w:val="24"/>
          <w:szCs w:val="24"/>
        </w:rPr>
        <w:t>Mgr. Miturová (tajemnice) uvedla jednání, členky komise se vzájemně představily. Novými členkami od r.</w:t>
      </w:r>
      <w:r>
        <w:rPr>
          <w:sz w:val="24"/>
          <w:szCs w:val="24"/>
        </w:rPr>
        <w:t xml:space="preserve"> 2019 jsou PhDr. Svobodová a Mgr. Valentová. Předsedkyní byla zvolena Bc. Hartmanová, místopředsedkyní Bc. Bláhová. Další jednání vedla předsedkyně komise.</w:t>
      </w:r>
    </w:p>
    <w:p w:rsidR="00722026" w:rsidRDefault="00722026">
      <w:pPr>
        <w:jc w:val="both"/>
        <w:rPr>
          <w:sz w:val="24"/>
          <w:u w:val="single"/>
        </w:rPr>
      </w:pPr>
    </w:p>
    <w:p w:rsidR="00722026" w:rsidRDefault="00644217">
      <w:pPr>
        <w:rPr>
          <w:b/>
          <w:sz w:val="24"/>
        </w:rPr>
      </w:pPr>
      <w:r>
        <w:rPr>
          <w:b/>
          <w:sz w:val="24"/>
        </w:rPr>
        <w:t>2. Hodnocení předchozího ročníku podprogramu VISK 5 a jiné:</w:t>
      </w:r>
    </w:p>
    <w:p w:rsidR="00722026" w:rsidRDefault="00644217">
      <w:pPr>
        <w:jc w:val="both"/>
      </w:pPr>
      <w:r>
        <w:rPr>
          <w:sz w:val="24"/>
        </w:rPr>
        <w:t xml:space="preserve">Odborná </w:t>
      </w:r>
      <w:proofErr w:type="spellStart"/>
      <w:r>
        <w:rPr>
          <w:sz w:val="24"/>
        </w:rPr>
        <w:t>garantka</w:t>
      </w:r>
      <w:proofErr w:type="spellEnd"/>
      <w:r>
        <w:rPr>
          <w:sz w:val="24"/>
        </w:rPr>
        <w:t xml:space="preserve"> Mgr. Mikšovská předlož</w:t>
      </w:r>
      <w:r>
        <w:rPr>
          <w:sz w:val="24"/>
        </w:rPr>
        <w:t xml:space="preserve">ila souhrnnou zprávu o naplňování cílů </w:t>
      </w:r>
      <w:r>
        <w:rPr>
          <w:sz w:val="24"/>
          <w:szCs w:val="24"/>
        </w:rPr>
        <w:t>podprogramu VISK 5 za rok 2018 (</w:t>
      </w:r>
      <w:hyperlink r:id="rId6">
        <w:r>
          <w:rPr>
            <w:rStyle w:val="Internetovodkaz"/>
            <w:sz w:val="24"/>
            <w:szCs w:val="24"/>
          </w:rPr>
          <w:t>http://visk.nkp.cz/visk-5</w:t>
        </w:r>
      </w:hyperlink>
      <w:r>
        <w:rPr>
          <w:sz w:val="24"/>
          <w:szCs w:val="24"/>
        </w:rPr>
        <w:t>). Během roku bylo vytvořeno více než 118 000 nových bibliografických záznamů ve standardizovaném formátu MARC21.</w:t>
      </w:r>
    </w:p>
    <w:p w:rsidR="00722026" w:rsidRDefault="00644217">
      <w:pPr>
        <w:jc w:val="both"/>
        <w:rPr>
          <w:sz w:val="24"/>
          <w:szCs w:val="24"/>
        </w:rPr>
      </w:pPr>
      <w:r>
        <w:rPr>
          <w:sz w:val="24"/>
          <w:szCs w:val="24"/>
        </w:rPr>
        <w:t>M</w:t>
      </w:r>
      <w:r>
        <w:rPr>
          <w:sz w:val="24"/>
          <w:szCs w:val="24"/>
        </w:rPr>
        <w:t>gr. Miturová zmínila, že od roku 2019 došlo ke změně mechanismu podávání žádostí pro státní příspěvkové organizace Ministerstva kultury (SPO), které se nemohou účastnit dotačních řízení, ale podávají projekty prostřednictvím tzv. karet nadpožadavků uplatňo</w:t>
      </w:r>
      <w:r>
        <w:rPr>
          <w:sz w:val="24"/>
          <w:szCs w:val="24"/>
        </w:rPr>
        <w:t>vaných směrem k programu VISK na následující rozpočtový rok. Projekty SPO posuzuje jiný poradní orgán, složený ze zástupců knihovnické veřejnosti. Pro ostatní žadatele se v dosavadním způsobu podávání žádostí nic nemění.</w:t>
      </w:r>
    </w:p>
    <w:p w:rsidR="00722026" w:rsidRDefault="00644217">
      <w:pPr>
        <w:jc w:val="both"/>
      </w:pPr>
      <w:r>
        <w:rPr>
          <w:sz w:val="24"/>
          <w:szCs w:val="24"/>
          <w:u w:val="single"/>
        </w:rPr>
        <w:t>Zadávací dokumentace na r. 2019 bud</w:t>
      </w:r>
      <w:r>
        <w:rPr>
          <w:sz w:val="24"/>
          <w:szCs w:val="24"/>
          <w:u w:val="single"/>
        </w:rPr>
        <w:t>e upřesněna:</w:t>
      </w:r>
      <w:r>
        <w:rPr>
          <w:sz w:val="24"/>
          <w:szCs w:val="24"/>
        </w:rPr>
        <w:t xml:space="preserve"> </w:t>
      </w:r>
      <w:r>
        <w:rPr>
          <w:bCs/>
          <w:sz w:val="24"/>
          <w:szCs w:val="24"/>
        </w:rPr>
        <w:t>v tabulce Základní údaje o žadateli bude</w:t>
      </w:r>
      <w:r>
        <w:rPr>
          <w:bCs/>
          <w:sz w:val="24"/>
        </w:rPr>
        <w:t xml:space="preserve"> doplněn údaj, zda projekt žádá o jednorázovou / krátkodobou (3-5 let) /</w:t>
      </w:r>
      <w:r>
        <w:rPr>
          <w:bCs/>
          <w:sz w:val="24"/>
        </w:rPr>
        <w:t xml:space="preserve"> </w:t>
      </w:r>
      <w:r>
        <w:rPr>
          <w:bCs/>
          <w:sz w:val="24"/>
        </w:rPr>
        <w:t>dlouhodobou (5-10</w:t>
      </w:r>
      <w:r>
        <w:rPr>
          <w:bCs/>
          <w:sz w:val="24"/>
        </w:rPr>
        <w:t> </w:t>
      </w:r>
      <w:r>
        <w:rPr>
          <w:bCs/>
          <w:sz w:val="24"/>
        </w:rPr>
        <w:t>/</w:t>
      </w:r>
      <w:r>
        <w:rPr>
          <w:bCs/>
          <w:sz w:val="24"/>
        </w:rPr>
        <w:t> </w:t>
      </w:r>
      <w:r>
        <w:rPr>
          <w:bCs/>
          <w:sz w:val="24"/>
        </w:rPr>
        <w:t>více let) podporu.</w:t>
      </w:r>
      <w:bookmarkStart w:id="0" w:name="_GoBack"/>
      <w:bookmarkEnd w:id="0"/>
    </w:p>
    <w:p w:rsidR="00722026" w:rsidRDefault="00722026">
      <w:pPr>
        <w:jc w:val="both"/>
        <w:rPr>
          <w:sz w:val="24"/>
          <w:u w:val="single"/>
        </w:rPr>
      </w:pPr>
    </w:p>
    <w:p w:rsidR="00722026" w:rsidRDefault="00644217">
      <w:pPr>
        <w:jc w:val="both"/>
        <w:rPr>
          <w:b/>
          <w:sz w:val="24"/>
          <w:szCs w:val="24"/>
        </w:rPr>
      </w:pPr>
      <w:r>
        <w:rPr>
          <w:b/>
          <w:sz w:val="24"/>
          <w:szCs w:val="24"/>
        </w:rPr>
        <w:t>3. Vyloučení projektu:</w:t>
      </w:r>
    </w:p>
    <w:p w:rsidR="00722026" w:rsidRDefault="00644217">
      <w:pPr>
        <w:jc w:val="both"/>
        <w:rPr>
          <w:sz w:val="24"/>
          <w:szCs w:val="24"/>
        </w:rPr>
      </w:pPr>
      <w:r>
        <w:rPr>
          <w:sz w:val="24"/>
        </w:rPr>
        <w:t>Projekt „</w:t>
      </w:r>
      <w:proofErr w:type="spellStart"/>
      <w:r>
        <w:rPr>
          <w:sz w:val="24"/>
          <w:szCs w:val="24"/>
        </w:rPr>
        <w:t>Rekatalogizace</w:t>
      </w:r>
      <w:proofErr w:type="spellEnd"/>
      <w:r>
        <w:rPr>
          <w:sz w:val="24"/>
          <w:szCs w:val="24"/>
        </w:rPr>
        <w:t xml:space="preserve"> fondu knihovny archivu Národního divadla“</w:t>
      </w:r>
      <w:r>
        <w:rPr>
          <w:sz w:val="24"/>
        </w:rPr>
        <w:t xml:space="preserve"> p</w:t>
      </w:r>
      <w:r>
        <w:rPr>
          <w:sz w:val="24"/>
        </w:rPr>
        <w:t xml:space="preserve">odaný Národním divadlem byl vyřazen, neboť </w:t>
      </w:r>
      <w:r>
        <w:rPr>
          <w:sz w:val="24"/>
          <w:szCs w:val="24"/>
        </w:rPr>
        <w:t xml:space="preserve">od roku 2019 došlo ke změně mechanismu poskytování prostředků z programu VISK pro státní příspěvkové organizace, zřizované MK (viz výše). </w:t>
      </w:r>
      <w:r>
        <w:rPr>
          <w:sz w:val="24"/>
        </w:rPr>
        <w:t>P</w:t>
      </w:r>
      <w:r>
        <w:rPr>
          <w:sz w:val="24"/>
          <w:szCs w:val="24"/>
        </w:rPr>
        <w:t>říspěvkové organizace se nemohou účastnit dotačních řízení realizovaných p</w:t>
      </w:r>
      <w:r>
        <w:rPr>
          <w:sz w:val="24"/>
          <w:szCs w:val="24"/>
        </w:rPr>
        <w:t>odle § 14 zákona č. 218/2000 Sb., o rozpočtových pravidlech a o změně některých souvisejících zákonů (rozpočtová pravidla), ve znění platných právních předpisů. Pro jejich financování jsou určeny postupy podle § 13 a § 54 tohoto zákona. Doporučujeme, aby N</w:t>
      </w:r>
      <w:r>
        <w:rPr>
          <w:sz w:val="24"/>
          <w:szCs w:val="24"/>
        </w:rPr>
        <w:t>árodní divadlo svůj požadavek na realizaci tohoto projektu uplatnilo prostřednictvím tzv. karet nadpožadavků s rozpisem plánovaných nákladů uplatňovaných směrem k programu VISK na rozpočtový rok 2020, které budou shromažďovány během přípravy návrhu rozpočt</w:t>
      </w:r>
      <w:r>
        <w:rPr>
          <w:sz w:val="24"/>
          <w:szCs w:val="24"/>
        </w:rPr>
        <w:t>u SPO MK.</w:t>
      </w:r>
    </w:p>
    <w:p w:rsidR="00722026" w:rsidRDefault="00722026">
      <w:pPr>
        <w:jc w:val="both"/>
        <w:rPr>
          <w:sz w:val="24"/>
          <w:u w:val="single"/>
        </w:rPr>
      </w:pPr>
    </w:p>
    <w:p w:rsidR="00722026" w:rsidRDefault="00644217">
      <w:pPr>
        <w:jc w:val="both"/>
        <w:rPr>
          <w:b/>
          <w:sz w:val="24"/>
        </w:rPr>
      </w:pPr>
      <w:r>
        <w:rPr>
          <w:b/>
          <w:sz w:val="24"/>
        </w:rPr>
        <w:t>4. Projednávání projektů:</w:t>
      </w:r>
    </w:p>
    <w:p w:rsidR="00722026" w:rsidRDefault="00644217">
      <w:pPr>
        <w:jc w:val="both"/>
        <w:rPr>
          <w:sz w:val="24"/>
          <w:u w:val="single"/>
        </w:rPr>
      </w:pPr>
      <w:r>
        <w:rPr>
          <w:sz w:val="24"/>
          <w:u w:val="single"/>
        </w:rPr>
        <w:t>Pro rok 2019 byly stanoveny tyto zásady:</w:t>
      </w:r>
    </w:p>
    <w:p w:rsidR="00722026" w:rsidRDefault="00644217">
      <w:pPr>
        <w:numPr>
          <w:ilvl w:val="0"/>
          <w:numId w:val="1"/>
        </w:numPr>
        <w:jc w:val="both"/>
        <w:rPr>
          <w:sz w:val="24"/>
        </w:rPr>
      </w:pPr>
      <w:r>
        <w:rPr>
          <w:sz w:val="24"/>
        </w:rPr>
        <w:t>existující spolupráce žadatele se Souborným katalogem ČR (SK ČR),</w:t>
      </w:r>
    </w:p>
    <w:p w:rsidR="00722026" w:rsidRDefault="00644217">
      <w:pPr>
        <w:numPr>
          <w:ilvl w:val="0"/>
          <w:numId w:val="1"/>
        </w:numPr>
        <w:jc w:val="both"/>
        <w:rPr>
          <w:sz w:val="24"/>
        </w:rPr>
      </w:pPr>
      <w:r>
        <w:rPr>
          <w:sz w:val="24"/>
        </w:rPr>
        <w:t xml:space="preserve">podpora </w:t>
      </w:r>
      <w:proofErr w:type="spellStart"/>
      <w:r>
        <w:rPr>
          <w:sz w:val="24"/>
        </w:rPr>
        <w:t>retrokonverze</w:t>
      </w:r>
      <w:proofErr w:type="spellEnd"/>
      <w:r>
        <w:rPr>
          <w:sz w:val="24"/>
        </w:rPr>
        <w:t xml:space="preserve"> fondů s významným přínosem pro SK ČR a meziknihovní výpůjční službu (MVS),</w:t>
      </w:r>
    </w:p>
    <w:p w:rsidR="00722026" w:rsidRDefault="00644217">
      <w:pPr>
        <w:numPr>
          <w:ilvl w:val="0"/>
          <w:numId w:val="1"/>
        </w:numPr>
        <w:jc w:val="both"/>
        <w:rPr>
          <w:sz w:val="24"/>
        </w:rPr>
      </w:pPr>
      <w:r>
        <w:rPr>
          <w:sz w:val="24"/>
        </w:rPr>
        <w:t xml:space="preserve">dotace nebyla </w:t>
      </w:r>
      <w:r>
        <w:rPr>
          <w:sz w:val="24"/>
        </w:rPr>
        <w:t>poskytována na pořízení DHM a podporu automatizovaného knihovního systému,</w:t>
      </w:r>
    </w:p>
    <w:p w:rsidR="00722026" w:rsidRDefault="00644217">
      <w:pPr>
        <w:numPr>
          <w:ilvl w:val="0"/>
          <w:numId w:val="1"/>
        </w:numPr>
        <w:jc w:val="both"/>
        <w:rPr>
          <w:sz w:val="24"/>
        </w:rPr>
      </w:pPr>
      <w:r>
        <w:rPr>
          <w:sz w:val="24"/>
        </w:rPr>
        <w:lastRenderedPageBreak/>
        <w:t>dodržování platných knihovnických i technických standardů,</w:t>
      </w:r>
    </w:p>
    <w:p w:rsidR="00722026" w:rsidRDefault="00644217">
      <w:pPr>
        <w:numPr>
          <w:ilvl w:val="0"/>
          <w:numId w:val="1"/>
        </w:numPr>
        <w:jc w:val="both"/>
        <w:rPr>
          <w:sz w:val="24"/>
        </w:rPr>
      </w:pPr>
      <w:r>
        <w:rPr>
          <w:sz w:val="24"/>
        </w:rPr>
        <w:t>podpora projektů rozpracovaných v předchozích letech,</w:t>
      </w:r>
    </w:p>
    <w:p w:rsidR="00722026" w:rsidRDefault="00644217">
      <w:pPr>
        <w:numPr>
          <w:ilvl w:val="0"/>
          <w:numId w:val="1"/>
        </w:numPr>
        <w:jc w:val="both"/>
        <w:rPr>
          <w:sz w:val="24"/>
        </w:rPr>
      </w:pPr>
      <w:r>
        <w:rPr>
          <w:sz w:val="24"/>
        </w:rPr>
        <w:t>možnost doplnění věcného popisu dokumentů,</w:t>
      </w:r>
    </w:p>
    <w:p w:rsidR="00722026" w:rsidRDefault="00644217">
      <w:pPr>
        <w:pStyle w:val="Zkladntextodsazen"/>
        <w:numPr>
          <w:ilvl w:val="0"/>
          <w:numId w:val="1"/>
        </w:numPr>
        <w:tabs>
          <w:tab w:val="left" w:pos="1136"/>
        </w:tabs>
        <w:suppressAutoHyphens/>
        <w:spacing w:after="0"/>
        <w:jc w:val="both"/>
        <w:rPr>
          <w:bCs/>
          <w:sz w:val="24"/>
          <w:szCs w:val="24"/>
        </w:rPr>
      </w:pPr>
      <w:r>
        <w:rPr>
          <w:bCs/>
          <w:sz w:val="24"/>
          <w:szCs w:val="24"/>
        </w:rPr>
        <w:t xml:space="preserve">výše dotace byla </w:t>
      </w:r>
      <w:r>
        <w:rPr>
          <w:bCs/>
          <w:sz w:val="24"/>
          <w:szCs w:val="24"/>
        </w:rPr>
        <w:t>zaokrouhlována na celé tisíce směrem dolů.</w:t>
      </w:r>
    </w:p>
    <w:p w:rsidR="00722026" w:rsidRDefault="00722026">
      <w:pPr>
        <w:jc w:val="both"/>
        <w:rPr>
          <w:sz w:val="24"/>
        </w:rPr>
      </w:pPr>
    </w:p>
    <w:p w:rsidR="00722026" w:rsidRDefault="00644217">
      <w:pPr>
        <w:jc w:val="both"/>
        <w:rPr>
          <w:sz w:val="24"/>
          <w:u w:val="single"/>
        </w:rPr>
      </w:pPr>
      <w:r>
        <w:rPr>
          <w:sz w:val="24"/>
          <w:u w:val="single"/>
        </w:rPr>
        <w:t>Základní pravidla přidělování finančních prostředků a způsob hlasování:</w:t>
      </w:r>
    </w:p>
    <w:p w:rsidR="00722026" w:rsidRDefault="00644217">
      <w:pPr>
        <w:jc w:val="both"/>
      </w:pPr>
      <w:r>
        <w:rPr>
          <w:sz w:val="24"/>
        </w:rPr>
        <w:t>Členky komise vedly podrobnou rozpravu o každém předloženém projektu. Předmětem jednání bylo splnění základních podmínek stanovených v zadáv</w:t>
      </w:r>
      <w:r>
        <w:rPr>
          <w:sz w:val="24"/>
        </w:rPr>
        <w:t xml:space="preserve">ací dokumentaci k podprogramu VISK 5 na rok 2019, přínos pro SK ČR a MVS, dodržování knihovnických a technických standardů, kontinuita z předchozích let, efektivita využití prostředků (cena za 1 záznam), množství dodaných záznamů do SK ČR. </w:t>
      </w:r>
      <w:r>
        <w:rPr>
          <w:sz w:val="24"/>
          <w:szCs w:val="24"/>
        </w:rPr>
        <w:t>Poté byly jednot</w:t>
      </w:r>
      <w:r>
        <w:rPr>
          <w:sz w:val="24"/>
          <w:szCs w:val="24"/>
        </w:rPr>
        <w:t>livým projektům přidělovány konkrétní částky.</w:t>
      </w:r>
    </w:p>
    <w:p w:rsidR="00722026" w:rsidRDefault="00722026">
      <w:pPr>
        <w:jc w:val="both"/>
        <w:rPr>
          <w:sz w:val="24"/>
          <w:highlight w:val="yellow"/>
        </w:rPr>
      </w:pPr>
    </w:p>
    <w:p w:rsidR="00722026" w:rsidRDefault="00644217">
      <w:pPr>
        <w:jc w:val="both"/>
        <w:rPr>
          <w:b/>
          <w:sz w:val="24"/>
        </w:rPr>
      </w:pPr>
      <w:r>
        <w:rPr>
          <w:b/>
          <w:sz w:val="24"/>
        </w:rPr>
        <w:t>5. Důvody nepřidělení dotace:</w:t>
      </w:r>
    </w:p>
    <w:p w:rsidR="00722026" w:rsidRDefault="00644217">
      <w:pPr>
        <w:jc w:val="both"/>
      </w:pPr>
      <w:r>
        <w:rPr>
          <w:sz w:val="24"/>
        </w:rPr>
        <w:t>- projekt č. 11 (VMG Česká Lípa): Projekt byl zamítnut zejm. proto, že počet v projektu uváděných, do SK ČR odeslaných záznamů neodpovídá skutečnosti (do SK ČR bylo v roce 2018 př</w:t>
      </w:r>
      <w:r>
        <w:rPr>
          <w:sz w:val="24"/>
        </w:rPr>
        <w:t>ijato jen 750 záznamů) a ve zprávě o realizaci projektu nebyl tento fakt vysvětlen. Podobná situace se opakovala už v roce 2017. Komise se rovněž domnívá, že v popisu projektu dochází k zaměňování terminologie „svazky periodik“ a „bibliografické záznamy“.</w:t>
      </w:r>
    </w:p>
    <w:p w:rsidR="00722026" w:rsidRDefault="00722026">
      <w:pPr>
        <w:jc w:val="both"/>
        <w:rPr>
          <w:sz w:val="24"/>
        </w:rPr>
      </w:pPr>
    </w:p>
    <w:p w:rsidR="00722026" w:rsidRDefault="00644217">
      <w:pPr>
        <w:jc w:val="both"/>
        <w:rPr>
          <w:b/>
          <w:sz w:val="24"/>
        </w:rPr>
      </w:pPr>
      <w:r>
        <w:rPr>
          <w:b/>
          <w:sz w:val="24"/>
        </w:rPr>
        <w:t>6. Doporučení komise a podmínky poskytnutí dotace:</w:t>
      </w:r>
    </w:p>
    <w:p w:rsidR="00722026" w:rsidRDefault="00644217">
      <w:pPr>
        <w:jc w:val="both"/>
        <w:rPr>
          <w:sz w:val="24"/>
        </w:rPr>
      </w:pPr>
      <w:r>
        <w:rPr>
          <w:sz w:val="24"/>
        </w:rPr>
        <w:t xml:space="preserve">- projekt č. 1 (MU): V tabulce Základní </w:t>
      </w:r>
      <w:proofErr w:type="gramStart"/>
      <w:r>
        <w:rPr>
          <w:sz w:val="24"/>
        </w:rPr>
        <w:t>údaje</w:t>
      </w:r>
      <w:proofErr w:type="gramEnd"/>
      <w:r>
        <w:rPr>
          <w:sz w:val="24"/>
        </w:rPr>
        <w:t xml:space="preserve"> o žadateli </w:t>
      </w:r>
      <w:proofErr w:type="gramStart"/>
      <w:r>
        <w:rPr>
          <w:sz w:val="24"/>
        </w:rPr>
        <w:t>není</w:t>
      </w:r>
      <w:proofErr w:type="gramEnd"/>
      <w:r>
        <w:rPr>
          <w:sz w:val="24"/>
        </w:rPr>
        <w:t xml:space="preserve"> uveden počet zpracovaných záznamů.</w:t>
      </w:r>
    </w:p>
    <w:p w:rsidR="00722026" w:rsidRDefault="00644217">
      <w:pPr>
        <w:jc w:val="both"/>
        <w:rPr>
          <w:sz w:val="24"/>
        </w:rPr>
      </w:pPr>
      <w:r>
        <w:rPr>
          <w:sz w:val="24"/>
        </w:rPr>
        <w:t>- projekt č. 2 (ÚČL AV ČR): Dotace byla krácena vzhledem k podmínce poskytnutí dotace ve výši max. 70 % cel</w:t>
      </w:r>
      <w:r>
        <w:rPr>
          <w:sz w:val="24"/>
        </w:rPr>
        <w:t>kových nákladů na realizaci projektu (náklady je třeba zaokrouhlovat směrem dolů).</w:t>
      </w:r>
    </w:p>
    <w:p w:rsidR="00722026" w:rsidRDefault="00644217">
      <w:pPr>
        <w:jc w:val="both"/>
        <w:rPr>
          <w:sz w:val="24"/>
        </w:rPr>
      </w:pPr>
      <w:r>
        <w:rPr>
          <w:sz w:val="24"/>
        </w:rPr>
        <w:t>- projekt č. 4 (KNAV – seriály): Dotace byla mírně krácena z těchto důvodů: v kalkulaci prací není uveden počet hodin, užívána nesprávná terminologie („seriály a jejich mono</w:t>
      </w:r>
      <w:r>
        <w:rPr>
          <w:sz w:val="24"/>
        </w:rPr>
        <w:t>grafie“).</w:t>
      </w:r>
    </w:p>
    <w:p w:rsidR="00722026" w:rsidRDefault="00644217">
      <w:pPr>
        <w:jc w:val="both"/>
        <w:rPr>
          <w:sz w:val="24"/>
        </w:rPr>
      </w:pPr>
      <w:r>
        <w:rPr>
          <w:sz w:val="24"/>
        </w:rPr>
        <w:t>- projekt č. 5 (KNAV – prof. knihovna): Dotace je poskytována na dokončení projektu. Upozorňujeme na vysokou hodinovou mzdu za zpracování záznamů.</w:t>
      </w:r>
    </w:p>
    <w:p w:rsidR="00722026" w:rsidRDefault="00644217">
      <w:pPr>
        <w:jc w:val="both"/>
        <w:rPr>
          <w:sz w:val="24"/>
        </w:rPr>
      </w:pPr>
      <w:r>
        <w:rPr>
          <w:sz w:val="24"/>
        </w:rPr>
        <w:t>- projekt č. 6 (ÚZEI): Počet záznamů uvedených v tabulce Základní údaje o žadateli a ve zprávě o re</w:t>
      </w:r>
      <w:r>
        <w:rPr>
          <w:sz w:val="24"/>
        </w:rPr>
        <w:t>alizaci projektu za rok 2018 nesouhlasí.</w:t>
      </w:r>
    </w:p>
    <w:p w:rsidR="00722026" w:rsidRDefault="00644217">
      <w:pPr>
        <w:jc w:val="both"/>
        <w:rPr>
          <w:sz w:val="24"/>
        </w:rPr>
      </w:pPr>
      <w:r>
        <w:rPr>
          <w:sz w:val="24"/>
        </w:rPr>
        <w:t xml:space="preserve">- projekt č. 7 (JVK ČB): V tabulce Základní </w:t>
      </w:r>
      <w:proofErr w:type="gramStart"/>
      <w:r>
        <w:rPr>
          <w:sz w:val="24"/>
        </w:rPr>
        <w:t>údaje</w:t>
      </w:r>
      <w:proofErr w:type="gramEnd"/>
      <w:r>
        <w:rPr>
          <w:sz w:val="24"/>
        </w:rPr>
        <w:t xml:space="preserve"> o žadateli </w:t>
      </w:r>
      <w:proofErr w:type="gramStart"/>
      <w:r>
        <w:rPr>
          <w:sz w:val="24"/>
        </w:rPr>
        <w:t>není</w:t>
      </w:r>
      <w:proofErr w:type="gramEnd"/>
      <w:r>
        <w:rPr>
          <w:sz w:val="24"/>
        </w:rPr>
        <w:t xml:space="preserve"> uveden počet zpracovaných záznamů.</w:t>
      </w:r>
    </w:p>
    <w:p w:rsidR="00722026" w:rsidRDefault="00644217">
      <w:pPr>
        <w:jc w:val="both"/>
        <w:rPr>
          <w:sz w:val="24"/>
        </w:rPr>
      </w:pPr>
      <w:r>
        <w:rPr>
          <w:sz w:val="24"/>
        </w:rPr>
        <w:t>- projekt č. 8 (SVK PK): Text v komentáři nesouhlasí zcela s tabulkou rozpočtu a popisem projektu; počet záznamů j</w:t>
      </w:r>
      <w:r>
        <w:rPr>
          <w:sz w:val="24"/>
        </w:rPr>
        <w:t>e uváděn kvalifikovaným odhadem.</w:t>
      </w:r>
    </w:p>
    <w:p w:rsidR="00722026" w:rsidRDefault="00644217">
      <w:pPr>
        <w:jc w:val="both"/>
        <w:rPr>
          <w:sz w:val="24"/>
          <w:u w:val="single"/>
        </w:rPr>
      </w:pPr>
      <w:r>
        <w:rPr>
          <w:sz w:val="24"/>
        </w:rPr>
        <w:t>- projekt č. 9 (</w:t>
      </w:r>
      <w:proofErr w:type="gramStart"/>
      <w:r>
        <w:rPr>
          <w:sz w:val="24"/>
        </w:rPr>
        <w:t xml:space="preserve">ČBS, </w:t>
      </w:r>
      <w:proofErr w:type="spellStart"/>
      <w:r>
        <w:rPr>
          <w:sz w:val="24"/>
        </w:rPr>
        <w:t>z.s</w:t>
      </w:r>
      <w:proofErr w:type="spellEnd"/>
      <w:r>
        <w:rPr>
          <w:sz w:val="24"/>
        </w:rPr>
        <w:t>.</w:t>
      </w:r>
      <w:proofErr w:type="gramEnd"/>
      <w:r>
        <w:rPr>
          <w:sz w:val="24"/>
        </w:rPr>
        <w:t xml:space="preserve">): V projektu nebyly uznány náklady na nákup DHM (PC sestava, tiskárna, toner do tiskárny, etikety pro tisk čárových kódů) a služby (technická podpora AKS) – o tyto náklady byl projekt krácen. </w:t>
      </w:r>
      <w:r>
        <w:rPr>
          <w:sz w:val="24"/>
          <w:u w:val="single"/>
        </w:rPr>
        <w:t>Dotac</w:t>
      </w:r>
      <w:r>
        <w:rPr>
          <w:sz w:val="24"/>
          <w:u w:val="single"/>
        </w:rPr>
        <w:t>e je poskytována pouze na ostatní osobní náklady.</w:t>
      </w:r>
    </w:p>
    <w:p w:rsidR="00722026" w:rsidRDefault="00644217">
      <w:pPr>
        <w:jc w:val="both"/>
        <w:rPr>
          <w:sz w:val="24"/>
        </w:rPr>
      </w:pPr>
      <w:r>
        <w:rPr>
          <w:sz w:val="24"/>
        </w:rPr>
        <w:t xml:space="preserve">- projekt č. 10 (VK Olomouc): V projektu je uvedena chybná cena záznamu (ta se vypočítává z celkových nákladů na </w:t>
      </w:r>
      <w:proofErr w:type="spellStart"/>
      <w:r>
        <w:rPr>
          <w:sz w:val="24"/>
        </w:rPr>
        <w:t>retrokonverzi</w:t>
      </w:r>
      <w:proofErr w:type="spellEnd"/>
      <w:r>
        <w:rPr>
          <w:sz w:val="24"/>
        </w:rPr>
        <w:t xml:space="preserve">, nejen z dotace); odstraňování duplicitních záznamů by mělo být součástí běžné </w:t>
      </w:r>
      <w:r>
        <w:rPr>
          <w:sz w:val="24"/>
        </w:rPr>
        <w:t>činnosti; předmětem projektu není unikátní fond.</w:t>
      </w:r>
    </w:p>
    <w:p w:rsidR="00722026" w:rsidRDefault="00644217">
      <w:pPr>
        <w:jc w:val="both"/>
        <w:rPr>
          <w:sz w:val="24"/>
        </w:rPr>
      </w:pPr>
      <w:r>
        <w:rPr>
          <w:sz w:val="24"/>
        </w:rPr>
        <w:t xml:space="preserve"> - projekt č. 12 (SČM Liberec): V tabulce rozpočtu projektu jsou ostatní osobní náklady chybně uvedeny v řádku ostatní náklady.</w:t>
      </w:r>
    </w:p>
    <w:p w:rsidR="00722026" w:rsidRDefault="00644217">
      <w:pPr>
        <w:jc w:val="both"/>
      </w:pPr>
      <w:r>
        <w:rPr>
          <w:sz w:val="24"/>
        </w:rPr>
        <w:t>- projekt č. 14 (</w:t>
      </w:r>
      <w:proofErr w:type="spellStart"/>
      <w:r>
        <w:rPr>
          <w:sz w:val="24"/>
        </w:rPr>
        <w:t>OrÚ</w:t>
      </w:r>
      <w:proofErr w:type="spellEnd"/>
      <w:r>
        <w:rPr>
          <w:sz w:val="24"/>
        </w:rPr>
        <w:t xml:space="preserve"> AV ČR): Dotace je poskytována pouze s přihlédnutím k tomu,</w:t>
      </w:r>
      <w:r>
        <w:rPr>
          <w:sz w:val="24"/>
        </w:rPr>
        <w:t xml:space="preserve"> že předmětem projektu je unikátní fond. Příští rok je třeba výrazně zlepšit zpracování projektu, tzn. detailně rozepsat komentář rozpočtu projektu (počet pracovníků, druh práce, počet hodin</w:t>
      </w:r>
      <w:r>
        <w:rPr>
          <w:sz w:val="24"/>
        </w:rPr>
        <w:t> </w:t>
      </w:r>
      <w:r>
        <w:rPr>
          <w:sz w:val="24"/>
        </w:rPr>
        <w:t>/</w:t>
      </w:r>
      <w:r>
        <w:rPr>
          <w:sz w:val="24"/>
        </w:rPr>
        <w:t> </w:t>
      </w:r>
      <w:r>
        <w:rPr>
          <w:sz w:val="24"/>
        </w:rPr>
        <w:t>záznamů, mzdová sazba) a v popisu projektu uvést platné katalog</w:t>
      </w:r>
      <w:r>
        <w:rPr>
          <w:sz w:val="24"/>
        </w:rPr>
        <w:t>izační standardy.</w:t>
      </w:r>
    </w:p>
    <w:p w:rsidR="00722026" w:rsidRDefault="00644217">
      <w:pPr>
        <w:jc w:val="both"/>
        <w:rPr>
          <w:sz w:val="24"/>
        </w:rPr>
      </w:pPr>
      <w:r>
        <w:rPr>
          <w:sz w:val="24"/>
        </w:rPr>
        <w:t>- projekt č. 15 (NTK): Požadavek na dotaci je třeba zaokrouhlovat směrem dolů; nebyl vyplněn 1. řádek v tabulce rozpočtu projektu.</w:t>
      </w:r>
    </w:p>
    <w:p w:rsidR="00722026" w:rsidRDefault="00722026">
      <w:pPr>
        <w:jc w:val="both"/>
        <w:rPr>
          <w:sz w:val="24"/>
        </w:rPr>
      </w:pPr>
    </w:p>
    <w:p w:rsidR="00722026" w:rsidRDefault="00644217">
      <w:pPr>
        <w:pStyle w:val="Zkladntext"/>
        <w:rPr>
          <w:u w:val="single"/>
        </w:rPr>
      </w:pPr>
      <w:r>
        <w:rPr>
          <w:u w:val="single"/>
        </w:rPr>
        <w:lastRenderedPageBreak/>
        <w:t>Podmínka do rozhodnutí o poskytnutí dotace:</w:t>
      </w:r>
    </w:p>
    <w:p w:rsidR="00722026" w:rsidRDefault="00644217">
      <w:pPr>
        <w:pStyle w:val="Zkladntext"/>
        <w:rPr>
          <w:b/>
          <w:i/>
        </w:rPr>
      </w:pPr>
      <w:r>
        <w:rPr>
          <w:b/>
          <w:i/>
        </w:rPr>
        <w:t>Příjemce dotace se zavazuje dodat výsledné záznamy z úplné ret</w:t>
      </w:r>
      <w:r>
        <w:rPr>
          <w:b/>
          <w:i/>
        </w:rPr>
        <w:t xml:space="preserve">rospektivní konverze do Souborného katalogu ČR, naskenované záznamy a informace do Národního informačního systému pro retrospektivní konverzi (NRIS) </w:t>
      </w:r>
      <w:r>
        <w:rPr>
          <w:b/>
          <w:i/>
          <w:u w:val="single"/>
        </w:rPr>
        <w:t>do 31. 12. 2019</w:t>
      </w:r>
      <w:r>
        <w:rPr>
          <w:b/>
          <w:i/>
        </w:rPr>
        <w:t>.</w:t>
      </w:r>
    </w:p>
    <w:p w:rsidR="00722026" w:rsidRDefault="00722026">
      <w:pPr>
        <w:pStyle w:val="Zkladntext"/>
      </w:pPr>
    </w:p>
    <w:p w:rsidR="00722026" w:rsidRDefault="00722026">
      <w:pPr>
        <w:pStyle w:val="Zkladntext"/>
      </w:pPr>
    </w:p>
    <w:p w:rsidR="00722026" w:rsidRDefault="00722026">
      <w:pPr>
        <w:pStyle w:val="Nadpis1"/>
        <w:pBdr>
          <w:top w:val="single" w:sz="4" w:space="1" w:color="000000"/>
        </w:pBdr>
        <w:rPr>
          <w:b w:val="0"/>
          <w:szCs w:val="24"/>
        </w:rPr>
      </w:pPr>
    </w:p>
    <w:p w:rsidR="00722026" w:rsidRDefault="00722026"/>
    <w:p w:rsidR="00722026" w:rsidRDefault="00644217">
      <w:pPr>
        <w:pStyle w:val="Nadpis1"/>
      </w:pPr>
      <w:r>
        <w:t>7. Závěr – přidělení finančních prostředků:</w:t>
      </w:r>
    </w:p>
    <w:p w:rsidR="00722026" w:rsidRDefault="00644217">
      <w:pPr>
        <w:numPr>
          <w:ilvl w:val="0"/>
          <w:numId w:val="1"/>
        </w:numPr>
        <w:jc w:val="both"/>
        <w:rPr>
          <w:sz w:val="24"/>
        </w:rPr>
      </w:pPr>
      <w:r>
        <w:rPr>
          <w:sz w:val="24"/>
        </w:rPr>
        <w:t xml:space="preserve">Celkem bylo přihlášeno a komisi předloženo k hodnocení </w:t>
      </w:r>
      <w:r>
        <w:rPr>
          <w:b/>
          <w:bCs/>
          <w:sz w:val="24"/>
        </w:rPr>
        <w:t>15 projektů</w:t>
      </w:r>
      <w:r>
        <w:rPr>
          <w:sz w:val="24"/>
        </w:rPr>
        <w:t xml:space="preserve">. Souhrn veškerých finančních požadavků činil </w:t>
      </w:r>
      <w:r>
        <w:rPr>
          <w:b/>
          <w:bCs/>
          <w:sz w:val="24"/>
        </w:rPr>
        <w:t>1 314 000 Kč</w:t>
      </w:r>
      <w:r>
        <w:rPr>
          <w:sz w:val="24"/>
        </w:rPr>
        <w:t>.</w:t>
      </w:r>
    </w:p>
    <w:p w:rsidR="00722026" w:rsidRDefault="00644217">
      <w:pPr>
        <w:numPr>
          <w:ilvl w:val="0"/>
          <w:numId w:val="1"/>
        </w:numPr>
        <w:jc w:val="both"/>
        <w:rPr>
          <w:sz w:val="24"/>
        </w:rPr>
      </w:pPr>
      <w:r>
        <w:rPr>
          <w:sz w:val="24"/>
        </w:rPr>
        <w:t xml:space="preserve">Komise doporučila k finanční podpoře MK </w:t>
      </w:r>
      <w:r>
        <w:rPr>
          <w:b/>
          <w:bCs/>
          <w:sz w:val="24"/>
        </w:rPr>
        <w:t>14 projektů</w:t>
      </w:r>
      <w:r>
        <w:rPr>
          <w:sz w:val="24"/>
        </w:rPr>
        <w:t>. Celkem bylo rozděleno</w:t>
      </w:r>
      <w:r>
        <w:rPr>
          <w:b/>
          <w:sz w:val="24"/>
        </w:rPr>
        <w:t xml:space="preserve"> </w:t>
      </w:r>
      <w:r>
        <w:rPr>
          <w:b/>
          <w:sz w:val="24"/>
        </w:rPr>
        <w:br/>
        <w:t xml:space="preserve">1 190 000 Kč </w:t>
      </w:r>
      <w:r>
        <w:rPr>
          <w:sz w:val="24"/>
        </w:rPr>
        <w:t>neinvestičních prostředků. Výsledky ukazu</w:t>
      </w:r>
      <w:r>
        <w:rPr>
          <w:sz w:val="24"/>
        </w:rPr>
        <w:t>je přiložená tabulka.</w:t>
      </w:r>
    </w:p>
    <w:p w:rsidR="00722026" w:rsidRDefault="00722026">
      <w:pPr>
        <w:ind w:left="283" w:hanging="283"/>
        <w:jc w:val="both"/>
        <w:rPr>
          <w:sz w:val="24"/>
        </w:rPr>
      </w:pPr>
    </w:p>
    <w:p w:rsidR="00722026" w:rsidRDefault="00722026">
      <w:pPr>
        <w:ind w:left="283" w:hanging="283"/>
        <w:jc w:val="both"/>
        <w:rPr>
          <w:sz w:val="24"/>
        </w:rPr>
      </w:pPr>
    </w:p>
    <w:p w:rsidR="00722026" w:rsidRDefault="00722026">
      <w:pPr>
        <w:ind w:left="283" w:hanging="283"/>
        <w:jc w:val="both"/>
        <w:rPr>
          <w:sz w:val="24"/>
        </w:rPr>
      </w:pPr>
    </w:p>
    <w:p w:rsidR="00722026" w:rsidRDefault="00644217">
      <w:pPr>
        <w:ind w:left="283" w:hanging="283"/>
        <w:jc w:val="both"/>
        <w:rPr>
          <w:sz w:val="24"/>
        </w:rPr>
      </w:pPr>
      <w:r>
        <w:rPr>
          <w:sz w:val="24"/>
        </w:rPr>
        <w:t>Zapsala: Mgr. Petra Miturová,</w:t>
      </w:r>
    </w:p>
    <w:p w:rsidR="00722026" w:rsidRDefault="00644217">
      <w:pPr>
        <w:ind w:left="283" w:hanging="283"/>
        <w:jc w:val="both"/>
        <w:rPr>
          <w:sz w:val="24"/>
        </w:rPr>
      </w:pPr>
      <w:r>
        <w:rPr>
          <w:sz w:val="24"/>
        </w:rPr>
        <w:tab/>
      </w:r>
      <w:r>
        <w:rPr>
          <w:sz w:val="24"/>
        </w:rPr>
        <w:tab/>
        <w:t xml:space="preserve">   tajemnice</w:t>
      </w:r>
    </w:p>
    <w:p w:rsidR="00722026" w:rsidRDefault="00644217">
      <w:pPr>
        <w:ind w:left="283" w:hanging="283"/>
        <w:jc w:val="both"/>
        <w:rPr>
          <w:sz w:val="24"/>
        </w:rPr>
      </w:pPr>
      <w:r>
        <w:rPr>
          <w:sz w:val="24"/>
        </w:rPr>
        <w:tab/>
      </w:r>
      <w:r>
        <w:rPr>
          <w:sz w:val="24"/>
        </w:rPr>
        <w:tab/>
        <w:t xml:space="preserve">   8. 2. 2019</w:t>
      </w:r>
    </w:p>
    <w:p w:rsidR="00722026" w:rsidRDefault="00722026">
      <w:pPr>
        <w:ind w:left="283" w:hanging="283"/>
        <w:jc w:val="both"/>
        <w:rPr>
          <w:sz w:val="24"/>
        </w:rPr>
      </w:pPr>
    </w:p>
    <w:p w:rsidR="00722026" w:rsidRDefault="00722026">
      <w:pPr>
        <w:ind w:left="283" w:hanging="283"/>
        <w:jc w:val="both"/>
        <w:rPr>
          <w:sz w:val="24"/>
        </w:rPr>
      </w:pPr>
    </w:p>
    <w:p w:rsidR="00722026" w:rsidRDefault="00722026">
      <w:pPr>
        <w:ind w:left="283" w:hanging="283"/>
        <w:jc w:val="both"/>
        <w:rPr>
          <w:sz w:val="24"/>
        </w:rPr>
      </w:pPr>
    </w:p>
    <w:p w:rsidR="00722026" w:rsidRDefault="00644217">
      <w:pPr>
        <w:ind w:left="283" w:hanging="283"/>
        <w:jc w:val="both"/>
        <w:rPr>
          <w:sz w:val="24"/>
        </w:rPr>
      </w:pPr>
      <w:r>
        <w:rPr>
          <w:sz w:val="24"/>
        </w:rPr>
        <w:t>Schválila: Bc. Zuzana Hartmanová,</w:t>
      </w:r>
    </w:p>
    <w:p w:rsidR="00722026" w:rsidRDefault="00644217">
      <w:pPr>
        <w:ind w:left="283" w:hanging="283"/>
        <w:jc w:val="both"/>
      </w:pPr>
      <w:r>
        <w:rPr>
          <w:sz w:val="24"/>
        </w:rPr>
        <w:tab/>
      </w:r>
      <w:r>
        <w:rPr>
          <w:sz w:val="24"/>
        </w:rPr>
        <w:tab/>
        <w:t xml:space="preserve">     předsedkyně komise</w:t>
      </w:r>
    </w:p>
    <w:p w:rsidR="00722026" w:rsidRDefault="00644217">
      <w:pPr>
        <w:ind w:left="283" w:hanging="283"/>
        <w:jc w:val="both"/>
      </w:pPr>
      <w:r>
        <w:tab/>
      </w:r>
      <w:r>
        <w:tab/>
        <w:t xml:space="preserve">      </w:t>
      </w:r>
      <w:r>
        <w:rPr>
          <w:sz w:val="24"/>
          <w:szCs w:val="24"/>
        </w:rPr>
        <w:t>12. 2. 2019</w:t>
      </w:r>
    </w:p>
    <w:sectPr w:rsidR="00722026">
      <w:pgSz w:w="11906" w:h="16838"/>
      <w:pgMar w:top="1418" w:right="1417" w:bottom="1276" w:left="1417" w:header="720" w:footer="720" w:gutter="0"/>
      <w:cols w:space="708"/>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93E"/>
    <w:multiLevelType w:val="multilevel"/>
    <w:tmpl w:val="95043BD2"/>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CE513FB"/>
    <w:multiLevelType w:val="multilevel"/>
    <w:tmpl w:val="4FBEB8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026"/>
    <w:rsid w:val="00644217"/>
    <w:rsid w:val="0072202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qFormat/>
    <w:pPr>
      <w:keepNext/>
      <w:jc w:val="both"/>
      <w:outlineLvl w:val="1"/>
    </w:pPr>
    <w:rPr>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FF"/>
      <w:u w:val="single"/>
    </w:rPr>
  </w:style>
  <w:style w:type="character" w:styleId="Odkaznakoment">
    <w:name w:val="annotation reference"/>
    <w:semiHidden/>
    <w:qFormat/>
    <w:rPr>
      <w:sz w:val="16"/>
      <w:szCs w:val="16"/>
    </w:rPr>
  </w:style>
  <w:style w:type="character" w:styleId="Sledovanodkaz">
    <w:name w:val="FollowedHyperlink"/>
    <w:qFormat/>
    <w:rPr>
      <w:color w:val="800080"/>
      <w:u w:val="single"/>
    </w:rPr>
  </w:style>
  <w:style w:type="character" w:customStyle="1" w:styleId="ProsttextChar">
    <w:name w:val="Prostý text Char"/>
    <w:link w:val="Prosttext"/>
    <w:uiPriority w:val="99"/>
    <w:qFormat/>
    <w:rsid w:val="0087014F"/>
    <w:rPr>
      <w:rFonts w:ascii="Calibri" w:eastAsia="Calibri" w:hAnsi="Calibri"/>
      <w:sz w:val="22"/>
      <w:szCs w:val="22"/>
      <w:lang w:eastAsia="en-US"/>
    </w:rPr>
  </w:style>
  <w:style w:type="character" w:customStyle="1" w:styleId="ZkladntextodsazenChar">
    <w:name w:val="Základní text odsazený Char"/>
    <w:basedOn w:val="Standardnpsmoodstavce"/>
    <w:link w:val="Zkladntextodsazen"/>
    <w:qFormat/>
    <w:rsid w:val="00184F00"/>
  </w:style>
  <w:style w:type="character" w:customStyle="1" w:styleId="ListLabel1">
    <w:name w:val="ListLabel 1"/>
    <w:qFormat/>
    <w:rPr>
      <w:b/>
      <w:i w:val="0"/>
      <w:sz w:val="24"/>
    </w:rPr>
  </w:style>
  <w:style w:type="character" w:customStyle="1" w:styleId="ListLabel2">
    <w:name w:val="ListLabel 2"/>
    <w:qFormat/>
    <w:rPr>
      <w:rFonts w:eastAsia="Times New Roman" w:cs="Times New Roman"/>
      <w:b/>
    </w:rPr>
  </w:style>
  <w:style w:type="character" w:customStyle="1" w:styleId="ListLabel3">
    <w:name w:val="ListLabel 3"/>
    <w:qFormat/>
    <w:rPr>
      <w:rFonts w:eastAsia="Times New Roman" w:cs="Times New Roman"/>
      <w:b/>
    </w:rPr>
  </w:style>
  <w:style w:type="character" w:customStyle="1" w:styleId="ListLabel4">
    <w:name w:val="ListLabel 4"/>
    <w:qFormat/>
    <w:rPr>
      <w:b/>
    </w:rPr>
  </w:style>
  <w:style w:type="character" w:customStyle="1" w:styleId="ListLabel5">
    <w:name w:val="ListLabel 5"/>
    <w:qFormat/>
    <w:rPr>
      <w:sz w:val="24"/>
      <w:szCs w:val="24"/>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jc w:val="both"/>
    </w:pPr>
    <w:rPr>
      <w:sz w:val="24"/>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zev">
    <w:name w:val="Title"/>
    <w:basedOn w:val="Normln"/>
    <w:qFormat/>
    <w:pPr>
      <w:jc w:val="center"/>
    </w:pPr>
    <w:rPr>
      <w:bCs/>
      <w:sz w:val="32"/>
    </w:rPr>
  </w:style>
  <w:style w:type="paragraph" w:styleId="Textbubliny">
    <w:name w:val="Balloon Text"/>
    <w:basedOn w:val="Normln"/>
    <w:semiHidden/>
    <w:qFormat/>
    <w:rPr>
      <w:rFonts w:ascii="Tahoma" w:hAnsi="Tahoma" w:cs="Tahoma"/>
      <w:sz w:val="16"/>
      <w:szCs w:val="16"/>
    </w:rPr>
  </w:style>
  <w:style w:type="paragraph" w:styleId="Textkomente">
    <w:name w:val="annotation text"/>
    <w:basedOn w:val="Normln"/>
    <w:semiHidden/>
    <w:qFormat/>
  </w:style>
  <w:style w:type="paragraph" w:styleId="Pedmtkomente">
    <w:name w:val="annotation subject"/>
    <w:basedOn w:val="Textkomente"/>
    <w:next w:val="Textkomente"/>
    <w:semiHidden/>
    <w:qFormat/>
    <w:rPr>
      <w:b/>
      <w:bCs/>
    </w:rPr>
  </w:style>
  <w:style w:type="paragraph" w:styleId="Bezmezer">
    <w:name w:val="No Spacing"/>
    <w:uiPriority w:val="1"/>
    <w:qFormat/>
    <w:rsid w:val="008C0416"/>
    <w:rPr>
      <w:sz w:val="24"/>
      <w:szCs w:val="24"/>
    </w:rPr>
  </w:style>
  <w:style w:type="paragraph" w:styleId="Prosttext">
    <w:name w:val="Plain Text"/>
    <w:basedOn w:val="Normln"/>
    <w:link w:val="ProsttextChar"/>
    <w:uiPriority w:val="99"/>
    <w:unhideWhenUsed/>
    <w:qFormat/>
    <w:rsid w:val="0087014F"/>
    <w:rPr>
      <w:rFonts w:ascii="Calibri" w:eastAsia="Calibri" w:hAnsi="Calibri"/>
      <w:sz w:val="22"/>
      <w:szCs w:val="22"/>
      <w:lang w:eastAsia="en-US"/>
    </w:rPr>
  </w:style>
  <w:style w:type="paragraph" w:customStyle="1" w:styleId="Zkladntextodsazen21">
    <w:name w:val="Základní text odsazený 21"/>
    <w:basedOn w:val="Normln"/>
    <w:qFormat/>
    <w:rsid w:val="00A74E87"/>
    <w:pPr>
      <w:suppressAutoHyphens/>
      <w:ind w:firstLine="708"/>
      <w:jc w:val="both"/>
    </w:pPr>
    <w:rPr>
      <w:sz w:val="24"/>
      <w:lang w:eastAsia="ar-SA"/>
    </w:rPr>
  </w:style>
  <w:style w:type="paragraph" w:styleId="Zkladntextodsazen">
    <w:name w:val="Body Text Indent"/>
    <w:basedOn w:val="Normln"/>
    <w:link w:val="ZkladntextodsazenChar"/>
    <w:rsid w:val="00184F00"/>
    <w:pPr>
      <w:spacing w:after="120"/>
      <w:ind w:left="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qFormat/>
    <w:pPr>
      <w:keepNext/>
      <w:jc w:val="both"/>
      <w:outlineLvl w:val="1"/>
    </w:pPr>
    <w:rPr>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FF"/>
      <w:u w:val="single"/>
    </w:rPr>
  </w:style>
  <w:style w:type="character" w:styleId="Odkaznakoment">
    <w:name w:val="annotation reference"/>
    <w:semiHidden/>
    <w:qFormat/>
    <w:rPr>
      <w:sz w:val="16"/>
      <w:szCs w:val="16"/>
    </w:rPr>
  </w:style>
  <w:style w:type="character" w:styleId="Sledovanodkaz">
    <w:name w:val="FollowedHyperlink"/>
    <w:qFormat/>
    <w:rPr>
      <w:color w:val="800080"/>
      <w:u w:val="single"/>
    </w:rPr>
  </w:style>
  <w:style w:type="character" w:customStyle="1" w:styleId="ProsttextChar">
    <w:name w:val="Prostý text Char"/>
    <w:link w:val="Prosttext"/>
    <w:uiPriority w:val="99"/>
    <w:qFormat/>
    <w:rsid w:val="0087014F"/>
    <w:rPr>
      <w:rFonts w:ascii="Calibri" w:eastAsia="Calibri" w:hAnsi="Calibri"/>
      <w:sz w:val="22"/>
      <w:szCs w:val="22"/>
      <w:lang w:eastAsia="en-US"/>
    </w:rPr>
  </w:style>
  <w:style w:type="character" w:customStyle="1" w:styleId="ZkladntextodsazenChar">
    <w:name w:val="Základní text odsazený Char"/>
    <w:basedOn w:val="Standardnpsmoodstavce"/>
    <w:link w:val="Zkladntextodsazen"/>
    <w:qFormat/>
    <w:rsid w:val="00184F00"/>
  </w:style>
  <w:style w:type="character" w:customStyle="1" w:styleId="ListLabel1">
    <w:name w:val="ListLabel 1"/>
    <w:qFormat/>
    <w:rPr>
      <w:b/>
      <w:i w:val="0"/>
      <w:sz w:val="24"/>
    </w:rPr>
  </w:style>
  <w:style w:type="character" w:customStyle="1" w:styleId="ListLabel2">
    <w:name w:val="ListLabel 2"/>
    <w:qFormat/>
    <w:rPr>
      <w:rFonts w:eastAsia="Times New Roman" w:cs="Times New Roman"/>
      <w:b/>
    </w:rPr>
  </w:style>
  <w:style w:type="character" w:customStyle="1" w:styleId="ListLabel3">
    <w:name w:val="ListLabel 3"/>
    <w:qFormat/>
    <w:rPr>
      <w:rFonts w:eastAsia="Times New Roman" w:cs="Times New Roman"/>
      <w:b/>
    </w:rPr>
  </w:style>
  <w:style w:type="character" w:customStyle="1" w:styleId="ListLabel4">
    <w:name w:val="ListLabel 4"/>
    <w:qFormat/>
    <w:rPr>
      <w:b/>
    </w:rPr>
  </w:style>
  <w:style w:type="character" w:customStyle="1" w:styleId="ListLabel5">
    <w:name w:val="ListLabel 5"/>
    <w:qFormat/>
    <w:rPr>
      <w:sz w:val="24"/>
      <w:szCs w:val="24"/>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jc w:val="both"/>
    </w:pPr>
    <w:rPr>
      <w:sz w:val="24"/>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zev">
    <w:name w:val="Title"/>
    <w:basedOn w:val="Normln"/>
    <w:qFormat/>
    <w:pPr>
      <w:jc w:val="center"/>
    </w:pPr>
    <w:rPr>
      <w:bCs/>
      <w:sz w:val="32"/>
    </w:rPr>
  </w:style>
  <w:style w:type="paragraph" w:styleId="Textbubliny">
    <w:name w:val="Balloon Text"/>
    <w:basedOn w:val="Normln"/>
    <w:semiHidden/>
    <w:qFormat/>
    <w:rPr>
      <w:rFonts w:ascii="Tahoma" w:hAnsi="Tahoma" w:cs="Tahoma"/>
      <w:sz w:val="16"/>
      <w:szCs w:val="16"/>
    </w:rPr>
  </w:style>
  <w:style w:type="paragraph" w:styleId="Textkomente">
    <w:name w:val="annotation text"/>
    <w:basedOn w:val="Normln"/>
    <w:semiHidden/>
    <w:qFormat/>
  </w:style>
  <w:style w:type="paragraph" w:styleId="Pedmtkomente">
    <w:name w:val="annotation subject"/>
    <w:basedOn w:val="Textkomente"/>
    <w:next w:val="Textkomente"/>
    <w:semiHidden/>
    <w:qFormat/>
    <w:rPr>
      <w:b/>
      <w:bCs/>
    </w:rPr>
  </w:style>
  <w:style w:type="paragraph" w:styleId="Bezmezer">
    <w:name w:val="No Spacing"/>
    <w:uiPriority w:val="1"/>
    <w:qFormat/>
    <w:rsid w:val="008C0416"/>
    <w:rPr>
      <w:sz w:val="24"/>
      <w:szCs w:val="24"/>
    </w:rPr>
  </w:style>
  <w:style w:type="paragraph" w:styleId="Prosttext">
    <w:name w:val="Plain Text"/>
    <w:basedOn w:val="Normln"/>
    <w:link w:val="ProsttextChar"/>
    <w:uiPriority w:val="99"/>
    <w:unhideWhenUsed/>
    <w:qFormat/>
    <w:rsid w:val="0087014F"/>
    <w:rPr>
      <w:rFonts w:ascii="Calibri" w:eastAsia="Calibri" w:hAnsi="Calibri"/>
      <w:sz w:val="22"/>
      <w:szCs w:val="22"/>
      <w:lang w:eastAsia="en-US"/>
    </w:rPr>
  </w:style>
  <w:style w:type="paragraph" w:customStyle="1" w:styleId="Zkladntextodsazen21">
    <w:name w:val="Základní text odsazený 21"/>
    <w:basedOn w:val="Normln"/>
    <w:qFormat/>
    <w:rsid w:val="00A74E87"/>
    <w:pPr>
      <w:suppressAutoHyphens/>
      <w:ind w:firstLine="708"/>
      <w:jc w:val="both"/>
    </w:pPr>
    <w:rPr>
      <w:sz w:val="24"/>
      <w:lang w:eastAsia="ar-SA"/>
    </w:rPr>
  </w:style>
  <w:style w:type="paragraph" w:styleId="Zkladntextodsazen">
    <w:name w:val="Body Text Indent"/>
    <w:basedOn w:val="Normln"/>
    <w:link w:val="ZkladntextodsazenChar"/>
    <w:rsid w:val="00184F00"/>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sk.nkp.cz/visk-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6101</Characters>
  <Application>Microsoft Office Word</Application>
  <DocSecurity>4</DocSecurity>
  <Lines>50</Lines>
  <Paragraphs>14</Paragraphs>
  <ScaleCrop>false</ScaleCrop>
  <HeadingPairs>
    <vt:vector size="2" baseType="variant">
      <vt:variant>
        <vt:lpstr>Název</vt:lpstr>
      </vt:variant>
      <vt:variant>
        <vt:i4>1</vt:i4>
      </vt:variant>
    </vt:vector>
  </HeadingPairs>
  <TitlesOfParts>
    <vt:vector size="1" baseType="lpstr">
      <vt:lpstr>Souhlasím s</vt:lpstr>
    </vt:vector>
  </TitlesOfParts>
  <Company>České republiky</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Souhlasím s</dc:title>
  <dc:creator>Ministerstvo kultury</dc:creator>
  <cp:lastModifiedBy>Miturová Petra</cp:lastModifiedBy>
  <cp:revision>2</cp:revision>
  <cp:lastPrinted>2019-02-08T15:54:00Z</cp:lastPrinted>
  <dcterms:created xsi:type="dcterms:W3CDTF">2019-02-12T14:20:00Z</dcterms:created>
  <dcterms:modified xsi:type="dcterms:W3CDTF">2019-02-12T14:20:00Z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České republiky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