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3AE" w:rsidRDefault="007B7946" w:rsidP="004A13C3">
      <w:pPr>
        <w:pStyle w:val="Nzev"/>
        <w:rPr>
          <w:szCs w:val="32"/>
        </w:rPr>
      </w:pPr>
      <w:r>
        <w:rPr>
          <w:b w:val="0"/>
          <w:szCs w:val="32"/>
        </w:rPr>
        <w:t>ZÁPIS z jednání komise</w:t>
      </w:r>
    </w:p>
    <w:p w:rsidR="000C23AE" w:rsidRDefault="007B7946">
      <w:pPr>
        <w:jc w:val="center"/>
        <w:rPr>
          <w:sz w:val="32"/>
          <w:szCs w:val="32"/>
        </w:rPr>
      </w:pPr>
      <w:r>
        <w:rPr>
          <w:sz w:val="32"/>
          <w:szCs w:val="32"/>
        </w:rPr>
        <w:t>Programu Veřejné informační služby knihoven (VISK) 8</w:t>
      </w:r>
    </w:p>
    <w:p w:rsidR="000C23AE" w:rsidRDefault="00FE1A0B">
      <w:pPr>
        <w:jc w:val="center"/>
        <w:rPr>
          <w:b/>
          <w:sz w:val="24"/>
        </w:rPr>
      </w:pPr>
      <w:r>
        <w:rPr>
          <w:sz w:val="32"/>
          <w:szCs w:val="32"/>
        </w:rPr>
        <w:t>dne 5. 2. 2019</w:t>
      </w:r>
      <w:r w:rsidR="007B7946">
        <w:rPr>
          <w:sz w:val="32"/>
          <w:szCs w:val="32"/>
        </w:rPr>
        <w:t>, MK</w:t>
      </w:r>
    </w:p>
    <w:p w:rsidR="000C23AE" w:rsidRDefault="000C23AE">
      <w:pPr>
        <w:jc w:val="center"/>
        <w:rPr>
          <w:b/>
          <w:sz w:val="24"/>
        </w:rPr>
      </w:pPr>
    </w:p>
    <w:p w:rsidR="000C23AE" w:rsidRPr="00FE1A0B" w:rsidRDefault="007B7946" w:rsidP="005E47CB">
      <w:pPr>
        <w:ind w:right="1"/>
        <w:jc w:val="both"/>
        <w:rPr>
          <w:sz w:val="24"/>
        </w:rPr>
      </w:pPr>
      <w:r>
        <w:rPr>
          <w:b/>
          <w:sz w:val="24"/>
        </w:rPr>
        <w:t xml:space="preserve">Přítomni: </w:t>
      </w:r>
      <w:r w:rsidR="00FE1A0B" w:rsidRPr="00FE1A0B">
        <w:rPr>
          <w:sz w:val="24"/>
        </w:rPr>
        <w:t xml:space="preserve">Matyáš </w:t>
      </w:r>
      <w:proofErr w:type="spellStart"/>
      <w:r w:rsidR="00FE1A0B" w:rsidRPr="00FE1A0B">
        <w:rPr>
          <w:sz w:val="24"/>
        </w:rPr>
        <w:t>Franciszek</w:t>
      </w:r>
      <w:proofErr w:type="spellEnd"/>
      <w:r w:rsidR="00FE1A0B" w:rsidRPr="00FE1A0B">
        <w:rPr>
          <w:sz w:val="24"/>
        </w:rPr>
        <w:t xml:space="preserve"> </w:t>
      </w:r>
      <w:proofErr w:type="spellStart"/>
      <w:r w:rsidR="00FE1A0B" w:rsidRPr="00FE1A0B">
        <w:rPr>
          <w:sz w:val="24"/>
        </w:rPr>
        <w:t>Bajger</w:t>
      </w:r>
      <w:proofErr w:type="spellEnd"/>
      <w:r w:rsidR="00FE1A0B" w:rsidRPr="00FE1A0B">
        <w:rPr>
          <w:sz w:val="24"/>
        </w:rPr>
        <w:t xml:space="preserve"> (MSVK Ostrava, </w:t>
      </w:r>
      <w:proofErr w:type="spellStart"/>
      <w:proofErr w:type="gramStart"/>
      <w:r w:rsidR="00FE1A0B" w:rsidRPr="00FE1A0B">
        <w:rPr>
          <w:sz w:val="24"/>
        </w:rPr>
        <w:t>p.o</w:t>
      </w:r>
      <w:proofErr w:type="spellEnd"/>
      <w:r w:rsidR="00FE1A0B" w:rsidRPr="00FE1A0B">
        <w:rPr>
          <w:sz w:val="24"/>
        </w:rPr>
        <w:t>.</w:t>
      </w:r>
      <w:proofErr w:type="gramEnd"/>
      <w:r w:rsidR="00FE1A0B" w:rsidRPr="00FE1A0B">
        <w:rPr>
          <w:sz w:val="24"/>
        </w:rPr>
        <w:t xml:space="preserve">), </w:t>
      </w:r>
      <w:r w:rsidR="0065069C" w:rsidRPr="00FE1A0B">
        <w:rPr>
          <w:sz w:val="24"/>
        </w:rPr>
        <w:t>Ondřej Černý (MěK Praha)</w:t>
      </w:r>
      <w:r w:rsidRPr="00FE1A0B">
        <w:rPr>
          <w:sz w:val="24"/>
        </w:rPr>
        <w:t>,</w:t>
      </w:r>
      <w:r w:rsidR="00FE1A0B">
        <w:rPr>
          <w:sz w:val="24"/>
        </w:rPr>
        <w:t xml:space="preserve"> Mgr. Michal Denár (MěK Česká Třebová),</w:t>
      </w:r>
      <w:r w:rsidRPr="00FE1A0B">
        <w:rPr>
          <w:sz w:val="24"/>
        </w:rPr>
        <w:t xml:space="preserve"> PhDr. Lenka Hvězdová (NTK), </w:t>
      </w:r>
      <w:r w:rsidR="0065069C" w:rsidRPr="00FE1A0B">
        <w:rPr>
          <w:sz w:val="24"/>
        </w:rPr>
        <w:t xml:space="preserve">Tomáš Jandera (KNAV ČR), </w:t>
      </w:r>
      <w:r w:rsidRPr="00FE1A0B">
        <w:rPr>
          <w:sz w:val="24"/>
        </w:rPr>
        <w:t>Mgr. Karolína Košťálo</w:t>
      </w:r>
      <w:r w:rsidR="0065069C" w:rsidRPr="00FE1A0B">
        <w:rPr>
          <w:sz w:val="24"/>
        </w:rPr>
        <w:t>vá (NK ČR)</w:t>
      </w:r>
      <w:r w:rsidRPr="00FE1A0B">
        <w:rPr>
          <w:sz w:val="24"/>
        </w:rPr>
        <w:t xml:space="preserve">, Mgr. Lenka Maixnerová (NLK), </w:t>
      </w:r>
      <w:r w:rsidRPr="00FE1A0B">
        <w:rPr>
          <w:bCs/>
          <w:sz w:val="24"/>
        </w:rPr>
        <w:t>M</w:t>
      </w:r>
      <w:r w:rsidR="00FE1A0B">
        <w:rPr>
          <w:bCs/>
          <w:sz w:val="24"/>
        </w:rPr>
        <w:t>gr. Petra Miturová (MK)</w:t>
      </w:r>
      <w:r w:rsidRPr="00FE1A0B">
        <w:rPr>
          <w:bCs/>
          <w:sz w:val="24"/>
        </w:rPr>
        <w:t xml:space="preserve">, </w:t>
      </w:r>
      <w:r w:rsidR="0065069C" w:rsidRPr="00FE1A0B">
        <w:rPr>
          <w:bCs/>
          <w:sz w:val="24"/>
        </w:rPr>
        <w:t xml:space="preserve">Ing. Jiří Pavlík (ÚK UK v Praze), </w:t>
      </w:r>
      <w:r w:rsidRPr="00FE1A0B">
        <w:rPr>
          <w:bCs/>
          <w:sz w:val="24"/>
        </w:rPr>
        <w:t>B</w:t>
      </w:r>
      <w:r w:rsidR="00FE1A0B">
        <w:rPr>
          <w:bCs/>
          <w:sz w:val="24"/>
        </w:rPr>
        <w:t>c. Tomáš Prachař (MZK Brno), Ing. Petr Žabička (MZK Brno)</w:t>
      </w:r>
      <w:r w:rsidRPr="00FE1A0B">
        <w:rPr>
          <w:bCs/>
          <w:sz w:val="24"/>
        </w:rPr>
        <w:t>.</w:t>
      </w:r>
    </w:p>
    <w:p w:rsidR="000C23AE" w:rsidRDefault="000C23AE" w:rsidP="0089449F">
      <w:pPr>
        <w:pBdr>
          <w:bottom w:val="single" w:sz="8" w:space="1" w:color="000000"/>
        </w:pBdr>
        <w:ind w:right="-141"/>
        <w:jc w:val="both"/>
        <w:rPr>
          <w:sz w:val="24"/>
        </w:rPr>
      </w:pPr>
    </w:p>
    <w:p w:rsidR="000C23AE" w:rsidRDefault="000C23AE" w:rsidP="005E47CB">
      <w:pPr>
        <w:jc w:val="both"/>
        <w:rPr>
          <w:sz w:val="24"/>
        </w:rPr>
      </w:pPr>
    </w:p>
    <w:p w:rsidR="000C23AE" w:rsidRDefault="0065069C">
      <w:pPr>
        <w:numPr>
          <w:ilvl w:val="0"/>
          <w:numId w:val="3"/>
        </w:numPr>
        <w:tabs>
          <w:tab w:val="left" w:pos="0"/>
        </w:tabs>
        <w:ind w:left="284" w:hanging="284"/>
        <w:jc w:val="both"/>
        <w:rPr>
          <w:sz w:val="24"/>
        </w:rPr>
      </w:pPr>
      <w:r>
        <w:rPr>
          <w:b/>
          <w:sz w:val="24"/>
        </w:rPr>
        <w:t>Zahájení a volba předsednictva:</w:t>
      </w:r>
    </w:p>
    <w:p w:rsidR="000C23AE" w:rsidRDefault="007B7946">
      <w:pPr>
        <w:jc w:val="both"/>
        <w:rPr>
          <w:sz w:val="24"/>
        </w:rPr>
      </w:pPr>
      <w:r>
        <w:rPr>
          <w:sz w:val="24"/>
        </w:rPr>
        <w:t>Mgr. Miturová (tajemnice) zahájila jednání komise</w:t>
      </w:r>
      <w:r>
        <w:rPr>
          <w:color w:val="000000"/>
          <w:sz w:val="24"/>
        </w:rPr>
        <w:t xml:space="preserve"> a</w:t>
      </w:r>
      <w:r w:rsidR="0065069C">
        <w:rPr>
          <w:color w:val="000000"/>
          <w:sz w:val="24"/>
        </w:rPr>
        <w:t xml:space="preserve"> představila nové</w:t>
      </w:r>
      <w:r w:rsidR="00FE1A0B">
        <w:rPr>
          <w:color w:val="000000"/>
          <w:sz w:val="24"/>
        </w:rPr>
        <w:t xml:space="preserve"> členy komise p. Matyáše </w:t>
      </w:r>
      <w:proofErr w:type="spellStart"/>
      <w:r w:rsidR="00FE1A0B">
        <w:rPr>
          <w:color w:val="000000"/>
          <w:sz w:val="24"/>
        </w:rPr>
        <w:t>Franciszka</w:t>
      </w:r>
      <w:proofErr w:type="spellEnd"/>
      <w:r w:rsidR="00FE1A0B">
        <w:rPr>
          <w:color w:val="000000"/>
          <w:sz w:val="24"/>
        </w:rPr>
        <w:t xml:space="preserve"> </w:t>
      </w:r>
      <w:proofErr w:type="spellStart"/>
      <w:r w:rsidR="00FE1A0B">
        <w:rPr>
          <w:color w:val="000000"/>
          <w:sz w:val="24"/>
        </w:rPr>
        <w:t>Bajgera</w:t>
      </w:r>
      <w:proofErr w:type="spellEnd"/>
      <w:r w:rsidR="00FE1A0B">
        <w:rPr>
          <w:color w:val="000000"/>
          <w:sz w:val="24"/>
        </w:rPr>
        <w:t xml:space="preserve"> a Mgr. Michala </w:t>
      </w:r>
      <w:proofErr w:type="spellStart"/>
      <w:r w:rsidR="00FE1A0B">
        <w:rPr>
          <w:color w:val="000000"/>
          <w:sz w:val="24"/>
        </w:rPr>
        <w:t>Denára</w:t>
      </w:r>
      <w:proofErr w:type="spellEnd"/>
      <w:r>
        <w:rPr>
          <w:color w:val="000000"/>
          <w:sz w:val="24"/>
        </w:rPr>
        <w:t>.</w:t>
      </w:r>
      <w:r w:rsidR="00FE1A0B">
        <w:rPr>
          <w:color w:val="000000"/>
          <w:sz w:val="24"/>
        </w:rPr>
        <w:t xml:space="preserve"> Novým odborným garantem části VISK 8/B podprogramu je Ing. Petr Žabička.</w:t>
      </w:r>
      <w:r w:rsidR="0065069C">
        <w:rPr>
          <w:sz w:val="24"/>
        </w:rPr>
        <w:t xml:space="preserve"> </w:t>
      </w:r>
      <w:r>
        <w:rPr>
          <w:sz w:val="24"/>
        </w:rPr>
        <w:t xml:space="preserve">Předsedou byl zvolen </w:t>
      </w:r>
      <w:r w:rsidR="00FE1A0B">
        <w:rPr>
          <w:sz w:val="24"/>
        </w:rPr>
        <w:t>Ing. Pavlík</w:t>
      </w:r>
      <w:r w:rsidR="0065069C">
        <w:rPr>
          <w:sz w:val="24"/>
        </w:rPr>
        <w:t xml:space="preserve">, </w:t>
      </w:r>
      <w:r w:rsidR="00FE1A0B">
        <w:rPr>
          <w:sz w:val="24"/>
        </w:rPr>
        <w:t>místopředsedkyní PhDr. Hvězdová</w:t>
      </w:r>
      <w:r>
        <w:rPr>
          <w:sz w:val="24"/>
        </w:rPr>
        <w:t xml:space="preserve">. Jednání dále vedl </w:t>
      </w:r>
      <w:r w:rsidR="0065069C">
        <w:rPr>
          <w:sz w:val="24"/>
        </w:rPr>
        <w:t>předseda komise.</w:t>
      </w:r>
    </w:p>
    <w:p w:rsidR="00F41C82" w:rsidRDefault="00F41C82">
      <w:pPr>
        <w:jc w:val="both"/>
        <w:rPr>
          <w:sz w:val="24"/>
        </w:rPr>
      </w:pPr>
    </w:p>
    <w:p w:rsidR="000C23AE" w:rsidRDefault="0065069C">
      <w:pPr>
        <w:jc w:val="both"/>
      </w:pPr>
      <w:r>
        <w:rPr>
          <w:b/>
          <w:sz w:val="24"/>
        </w:rPr>
        <w:t>2</w:t>
      </w:r>
      <w:r w:rsidR="007B7946">
        <w:rPr>
          <w:b/>
          <w:sz w:val="24"/>
        </w:rPr>
        <w:t>. Hodnocení předchozího ročníku podprogramu VISK 8 a jiné:</w:t>
      </w:r>
    </w:p>
    <w:p w:rsidR="000E62AD" w:rsidRDefault="007B7946">
      <w:pPr>
        <w:pStyle w:val="Zkladntextodsazen21"/>
        <w:ind w:firstLine="0"/>
      </w:pPr>
      <w:r>
        <w:t>Na webových stránkách programu VISK byly zveřejněny výsledky programu VISK 8, jak v části VISK 8 (</w:t>
      </w:r>
      <w:hyperlink r:id="rId6" w:history="1">
        <w:r>
          <w:rPr>
            <w:rStyle w:val="Hypertextovodkaz"/>
          </w:rPr>
          <w:t>http://visk.nkp.cz/visk-8-a</w:t>
        </w:r>
      </w:hyperlink>
      <w:r>
        <w:t>), tak VISK 8/B (</w:t>
      </w:r>
      <w:hyperlink r:id="rId7" w:history="1">
        <w:r>
          <w:rPr>
            <w:rStyle w:val="Hypertextovodkaz"/>
          </w:rPr>
          <w:t>http://visk.nkp.cz/visk-8-b</w:t>
        </w:r>
      </w:hyperlink>
      <w:r>
        <w:t>).</w:t>
      </w:r>
    </w:p>
    <w:p w:rsidR="000E62AD" w:rsidRDefault="00DB5CC3">
      <w:pPr>
        <w:pStyle w:val="Zkladntextodsazen21"/>
        <w:ind w:firstLine="0"/>
        <w:rPr>
          <w:color w:val="000000"/>
        </w:rPr>
      </w:pPr>
      <w:r>
        <w:t>Ing. Žabička informoval o vývoji Centrálního portálu českých knihoven (CPK)</w:t>
      </w:r>
      <w:r w:rsidR="00AA3CA8">
        <w:t xml:space="preserve"> v roce 2018</w:t>
      </w:r>
      <w:r>
        <w:t xml:space="preserve">. </w:t>
      </w:r>
      <w:r w:rsidR="000E62AD">
        <w:t>Kromě běžných</w:t>
      </w:r>
      <w:r w:rsidR="00AA3CA8">
        <w:t xml:space="preserve"> vývojových prací byl </w:t>
      </w:r>
      <w:r>
        <w:t>CPK</w:t>
      </w:r>
      <w:r w:rsidR="000E62AD">
        <w:t xml:space="preserve"> upraven v souvislosti s GDPR. Do ostrého </w:t>
      </w:r>
      <w:r w:rsidR="000E62AD" w:rsidRPr="00DB5CC3">
        <w:t>provozu byly uvedeny vyhledávače</w:t>
      </w:r>
      <w:r w:rsidRPr="00DB5CC3">
        <w:t xml:space="preserve"> (informační řezy)</w:t>
      </w:r>
      <w:r w:rsidR="000E62AD" w:rsidRPr="00DB5CC3">
        <w:t xml:space="preserve"> pro oborov</w:t>
      </w:r>
      <w:r w:rsidR="000D08B8" w:rsidRPr="00DB5CC3">
        <w:t>é brány KIV, MUS, TECH a IREL.</w:t>
      </w:r>
      <w:r w:rsidR="000E62AD">
        <w:t xml:space="preserve"> Byl </w:t>
      </w:r>
      <w:proofErr w:type="spellStart"/>
      <w:r w:rsidR="000E62AD">
        <w:t>vysoutěžen</w:t>
      </w:r>
      <w:proofErr w:type="spellEnd"/>
      <w:r w:rsidR="000E62AD">
        <w:t xml:space="preserve"> dodavatel služby na zajištění centrálního indexu n</w:t>
      </w:r>
      <w:r w:rsidR="007B343F">
        <w:t>a další 4 roky (EBSCO). P</w:t>
      </w:r>
      <w:r w:rsidR="00065336">
        <w:t>rostředky na provoz</w:t>
      </w:r>
      <w:r w:rsidR="000E62AD">
        <w:t xml:space="preserve"> CPK </w:t>
      </w:r>
      <w:r w:rsidR="007B343F">
        <w:rPr>
          <w:color w:val="000000"/>
        </w:rPr>
        <w:t xml:space="preserve">byly od r. 2019 trvale převedeny </w:t>
      </w:r>
      <w:r w:rsidR="000E62AD">
        <w:rPr>
          <w:color w:val="000000"/>
        </w:rPr>
        <w:t>do příspěvku na provoz Moravské zemské knihovny v Brně.</w:t>
      </w:r>
    </w:p>
    <w:p w:rsidR="00823AAC" w:rsidRDefault="00823AAC" w:rsidP="00823AAC">
      <w:pPr>
        <w:jc w:val="both"/>
        <w:rPr>
          <w:sz w:val="24"/>
          <w:szCs w:val="24"/>
        </w:rPr>
      </w:pPr>
      <w:r>
        <w:rPr>
          <w:sz w:val="24"/>
          <w:szCs w:val="24"/>
        </w:rPr>
        <w:t>Mgr. Miturová zmínila, že od roku 2019 došlo ke změně mechanismu podávání žádostí pro státní příspěvkové organizace Ministerstva kultury (SPO), které se nemohou účastnit dotačních řízení, ale podávají projekty prostřednictvím tzv. karet nadpožadavků uplatňovaných směrem k programu VISK na následující rozpočtový rok. Projekty SPO posuzuje jiný poradní orgán, složený ze zástupců knihovnické veřejnosti. Pro ostatní žadatele se v dosavadním způsobu podávání žádostí nic nemění.</w:t>
      </w:r>
    </w:p>
    <w:p w:rsidR="00065336" w:rsidRDefault="00065336">
      <w:pPr>
        <w:pStyle w:val="Zkladntextodsazen21"/>
        <w:ind w:firstLine="0"/>
      </w:pPr>
      <w:r>
        <w:t>Vzhledem k tomu, že do dotačního řízení na rok 2019 byly do podprogramu VISK 8 podán</w:t>
      </w:r>
      <w:r w:rsidR="000F22B6">
        <w:t>y pouze dva projekty, uvažuje se</w:t>
      </w:r>
      <w:r w:rsidR="007B343F">
        <w:t xml:space="preserve"> od příštího roku</w:t>
      </w:r>
      <w:r w:rsidR="000F22B6">
        <w:t xml:space="preserve"> o jeho ev. sloučení</w:t>
      </w:r>
      <w:r>
        <w:t xml:space="preserve"> s podprogramem </w:t>
      </w:r>
      <w:r w:rsidR="007B343F">
        <w:t>VISK 1</w:t>
      </w:r>
      <w:r>
        <w:t>. Návrhy na aktualizaci obsa</w:t>
      </w:r>
      <w:r w:rsidR="007B343F">
        <w:t xml:space="preserve">hového zaměření a cílů </w:t>
      </w:r>
      <w:r>
        <w:t>VISK lze vznést prostřednictvím Ústřední knihovnické rady.</w:t>
      </w:r>
    </w:p>
    <w:p w:rsidR="005E47CB" w:rsidRDefault="005E47CB">
      <w:pPr>
        <w:jc w:val="both"/>
        <w:rPr>
          <w:sz w:val="24"/>
        </w:rPr>
      </w:pPr>
    </w:p>
    <w:p w:rsidR="000C23AE" w:rsidRDefault="0065069C">
      <w:pPr>
        <w:jc w:val="both"/>
        <w:rPr>
          <w:sz w:val="24"/>
        </w:rPr>
      </w:pPr>
      <w:r>
        <w:rPr>
          <w:b/>
          <w:sz w:val="24"/>
        </w:rPr>
        <w:t>3</w:t>
      </w:r>
      <w:r w:rsidR="007B7946">
        <w:rPr>
          <w:b/>
          <w:sz w:val="24"/>
        </w:rPr>
        <w:t>. Projednávání projektů:</w:t>
      </w:r>
    </w:p>
    <w:p w:rsidR="000C23AE" w:rsidRDefault="007B7946">
      <w:pPr>
        <w:jc w:val="both"/>
        <w:rPr>
          <w:sz w:val="24"/>
        </w:rPr>
      </w:pPr>
      <w:r>
        <w:rPr>
          <w:sz w:val="24"/>
        </w:rPr>
        <w:t>Předmětem jednání byly</w:t>
      </w:r>
      <w:r w:rsidR="003E4E57">
        <w:rPr>
          <w:sz w:val="24"/>
        </w:rPr>
        <w:t xml:space="preserve"> </w:t>
      </w:r>
      <w:r>
        <w:rPr>
          <w:sz w:val="24"/>
        </w:rPr>
        <w:t>projekty podané</w:t>
      </w:r>
      <w:r w:rsidR="003E4E57">
        <w:rPr>
          <w:sz w:val="24"/>
        </w:rPr>
        <w:t xml:space="preserve"> v dotačním řízení</w:t>
      </w:r>
      <w:r>
        <w:rPr>
          <w:sz w:val="24"/>
        </w:rPr>
        <w:t xml:space="preserve"> v části VISK 8/B „</w:t>
      </w:r>
      <w:r w:rsidR="003E4E57" w:rsidRPr="003E4E57">
        <w:rPr>
          <w:sz w:val="24"/>
        </w:rPr>
        <w:t>Zpřístupnění info</w:t>
      </w:r>
      <w:r w:rsidR="003E4E57">
        <w:rPr>
          <w:sz w:val="24"/>
        </w:rPr>
        <w:t xml:space="preserve">rmačních zdrojů prostřednictvím </w:t>
      </w:r>
      <w:r w:rsidR="003E4E57" w:rsidRPr="003E4E57">
        <w:rPr>
          <w:sz w:val="24"/>
        </w:rPr>
        <w:t>Centrálního portálu knihoven a oborových informačních bran</w:t>
      </w:r>
      <w:r w:rsidR="003E4E57">
        <w:rPr>
          <w:sz w:val="24"/>
        </w:rPr>
        <w:t xml:space="preserve">“. </w:t>
      </w:r>
      <w:r>
        <w:rPr>
          <w:sz w:val="24"/>
          <w:szCs w:val="24"/>
        </w:rPr>
        <w:t>Členové komise v</w:t>
      </w:r>
      <w:r w:rsidR="003E4E57">
        <w:rPr>
          <w:sz w:val="24"/>
          <w:szCs w:val="24"/>
        </w:rPr>
        <w:t>edli podrobnou rozpravu o obou předložených projektech</w:t>
      </w:r>
      <w:r>
        <w:rPr>
          <w:sz w:val="24"/>
          <w:szCs w:val="24"/>
        </w:rPr>
        <w:t>.</w:t>
      </w:r>
    </w:p>
    <w:p w:rsidR="000C23AE" w:rsidRDefault="000C23AE">
      <w:pPr>
        <w:jc w:val="both"/>
        <w:rPr>
          <w:bCs/>
          <w:sz w:val="24"/>
          <w:u w:val="single"/>
        </w:rPr>
      </w:pPr>
    </w:p>
    <w:p w:rsidR="000C23AE" w:rsidRDefault="007B7946">
      <w:pPr>
        <w:jc w:val="both"/>
        <w:rPr>
          <w:sz w:val="24"/>
          <w:szCs w:val="24"/>
        </w:rPr>
      </w:pPr>
      <w:r>
        <w:rPr>
          <w:bCs/>
          <w:sz w:val="24"/>
          <w:u w:val="single"/>
        </w:rPr>
        <w:t>Základní pravidla přidělování finančních prostředků a způsob hlasování:</w:t>
      </w:r>
    </w:p>
    <w:p w:rsidR="000C23AE" w:rsidRDefault="007B7946">
      <w:pPr>
        <w:jc w:val="both"/>
      </w:pPr>
      <w:r>
        <w:rPr>
          <w:sz w:val="24"/>
          <w:szCs w:val="24"/>
        </w:rPr>
        <w:t>Předmětem jednání bylo splnění základních podmínek, stanovených v zadávací dokumentaci k</w:t>
      </w:r>
      <w:r w:rsidR="007D318C">
        <w:rPr>
          <w:sz w:val="24"/>
          <w:szCs w:val="24"/>
        </w:rPr>
        <w:t> podprogramu VISK8/B na rok 2019</w:t>
      </w:r>
      <w:r>
        <w:rPr>
          <w:sz w:val="24"/>
          <w:szCs w:val="24"/>
        </w:rPr>
        <w:t>, přiměřenost rozpočtovaných nákladů a jejich zdůvodnění, kvalita projektu, jeho potřebnost a předpokládaný přínos pro</w:t>
      </w:r>
      <w:r w:rsidR="00697C9B">
        <w:rPr>
          <w:sz w:val="24"/>
          <w:szCs w:val="24"/>
        </w:rPr>
        <w:t xml:space="preserve"> ostatní knihovny a</w:t>
      </w:r>
      <w:r>
        <w:rPr>
          <w:sz w:val="24"/>
          <w:szCs w:val="24"/>
        </w:rPr>
        <w:t xml:space="preserve"> CPK.</w:t>
      </w:r>
    </w:p>
    <w:p w:rsidR="00F41C82" w:rsidRDefault="00F41C82">
      <w:pPr>
        <w:pStyle w:val="Zkladntextodsazen21"/>
        <w:ind w:firstLine="0"/>
      </w:pPr>
    </w:p>
    <w:p w:rsidR="00F41C82" w:rsidRDefault="00F41C82">
      <w:pPr>
        <w:pStyle w:val="Zkladntextodsazen21"/>
        <w:ind w:firstLine="0"/>
      </w:pPr>
    </w:p>
    <w:p w:rsidR="000C23AE" w:rsidRPr="005E47CB" w:rsidRDefault="00D059C0" w:rsidP="005E47CB">
      <w:pPr>
        <w:jc w:val="both"/>
        <w:rPr>
          <w:iCs/>
          <w:sz w:val="24"/>
          <w:szCs w:val="24"/>
        </w:rPr>
      </w:pPr>
      <w:r w:rsidRPr="005E47CB">
        <w:rPr>
          <w:b/>
          <w:sz w:val="24"/>
          <w:szCs w:val="24"/>
        </w:rPr>
        <w:lastRenderedPageBreak/>
        <w:t>4</w:t>
      </w:r>
      <w:r w:rsidR="007B7946" w:rsidRPr="005E47CB">
        <w:rPr>
          <w:b/>
          <w:sz w:val="24"/>
          <w:szCs w:val="24"/>
        </w:rPr>
        <w:t>. Zdůvodnění přidělení d</w:t>
      </w:r>
      <w:r w:rsidR="00B003FD" w:rsidRPr="005E47CB">
        <w:rPr>
          <w:b/>
          <w:sz w:val="24"/>
          <w:szCs w:val="24"/>
        </w:rPr>
        <w:t>otace u žádost</w:t>
      </w:r>
      <w:r w:rsidR="005E47CB" w:rsidRPr="005E47CB">
        <w:rPr>
          <w:b/>
          <w:sz w:val="24"/>
          <w:szCs w:val="24"/>
        </w:rPr>
        <w:t xml:space="preserve">í nad 500 tis. Kč a </w:t>
      </w:r>
      <w:r w:rsidR="007B7946" w:rsidRPr="005E47CB">
        <w:rPr>
          <w:b/>
          <w:sz w:val="24"/>
          <w:szCs w:val="24"/>
        </w:rPr>
        <w:t>výjimky pro poskytnutí dotace z příkazu ministra kultury č. 25/2010, kterým se vydává směrnice pro poskytování neinvestičních a investičních dotací ze státního rozpočtu MK:</w:t>
      </w:r>
    </w:p>
    <w:p w:rsidR="000C23AE" w:rsidRPr="005E47CB" w:rsidRDefault="00873644" w:rsidP="005E47CB">
      <w:pPr>
        <w:pStyle w:val="Zkladntextodsazen21"/>
        <w:ind w:firstLine="0"/>
      </w:pPr>
      <w:r w:rsidRPr="00F41C82">
        <w:rPr>
          <w:szCs w:val="24"/>
          <w:u w:val="single"/>
        </w:rPr>
        <w:t>projekt č. 1 (NTK</w:t>
      </w:r>
      <w:r w:rsidR="007B7946" w:rsidRPr="00F41C82">
        <w:rPr>
          <w:szCs w:val="24"/>
          <w:u w:val="single"/>
        </w:rPr>
        <w:t>)</w:t>
      </w:r>
      <w:r w:rsidR="007B7946" w:rsidRPr="0086705F">
        <w:rPr>
          <w:szCs w:val="24"/>
        </w:rPr>
        <w:t xml:space="preserve"> </w:t>
      </w:r>
      <w:r w:rsidR="005E47CB">
        <w:rPr>
          <w:szCs w:val="24"/>
        </w:rPr>
        <w:t>–</w:t>
      </w:r>
      <w:r w:rsidR="007B7946" w:rsidRPr="0086705F">
        <w:rPr>
          <w:szCs w:val="24"/>
        </w:rPr>
        <w:t xml:space="preserve"> </w:t>
      </w:r>
      <w:r w:rsidR="005E47CB">
        <w:rPr>
          <w:szCs w:val="24"/>
        </w:rPr>
        <w:t>r</w:t>
      </w:r>
      <w:r w:rsidR="007B7946" w:rsidRPr="0086705F">
        <w:rPr>
          <w:iCs/>
          <w:szCs w:val="24"/>
        </w:rPr>
        <w:t>eali</w:t>
      </w:r>
      <w:r w:rsidR="005E47CB">
        <w:rPr>
          <w:iCs/>
          <w:szCs w:val="24"/>
        </w:rPr>
        <w:t>zací projektu</w:t>
      </w:r>
      <w:r w:rsidR="00125B36">
        <w:rPr>
          <w:iCs/>
          <w:szCs w:val="24"/>
        </w:rPr>
        <w:t xml:space="preserve"> je plněno </w:t>
      </w:r>
      <w:r w:rsidR="00F41C82">
        <w:rPr>
          <w:iCs/>
          <w:szCs w:val="24"/>
        </w:rPr>
        <w:t xml:space="preserve">jedno z </w:t>
      </w:r>
      <w:r w:rsidR="007B7946" w:rsidRPr="0086705F">
        <w:rPr>
          <w:iCs/>
          <w:szCs w:val="24"/>
        </w:rPr>
        <w:t xml:space="preserve">opatření Koncepce rozvoje knihoven ČR na léta 2017-2020 </w:t>
      </w:r>
      <w:r w:rsidR="007B7946" w:rsidRPr="0057091E">
        <w:rPr>
          <w:iCs/>
          <w:sz w:val="22"/>
          <w:szCs w:val="22"/>
        </w:rPr>
        <w:t xml:space="preserve">(konkrétně </w:t>
      </w:r>
      <w:r w:rsidR="007B7946" w:rsidRPr="0057091E">
        <w:rPr>
          <w:sz w:val="22"/>
          <w:szCs w:val="22"/>
        </w:rPr>
        <w:t>1.1.2 Provozovat a ro</w:t>
      </w:r>
      <w:r w:rsidR="0086705F" w:rsidRPr="0057091E">
        <w:rPr>
          <w:sz w:val="22"/>
          <w:szCs w:val="22"/>
        </w:rPr>
        <w:t>zvíjet CPK</w:t>
      </w:r>
      <w:r w:rsidR="007B7946" w:rsidRPr="0057091E">
        <w:rPr>
          <w:sz w:val="22"/>
          <w:szCs w:val="22"/>
        </w:rPr>
        <w:t xml:space="preserve"> jako centrální systém pro zpřístupnění </w:t>
      </w:r>
      <w:r w:rsidR="0086705F" w:rsidRPr="0057091E">
        <w:rPr>
          <w:sz w:val="22"/>
          <w:szCs w:val="22"/>
        </w:rPr>
        <w:t xml:space="preserve">knihovních služeb a </w:t>
      </w:r>
      <w:proofErr w:type="spellStart"/>
      <w:r w:rsidR="0086705F" w:rsidRPr="0057091E">
        <w:rPr>
          <w:sz w:val="22"/>
          <w:szCs w:val="22"/>
        </w:rPr>
        <w:t>inf</w:t>
      </w:r>
      <w:proofErr w:type="spellEnd"/>
      <w:r w:rsidR="0086705F" w:rsidRPr="0057091E">
        <w:rPr>
          <w:sz w:val="22"/>
          <w:szCs w:val="22"/>
        </w:rPr>
        <w:t>.</w:t>
      </w:r>
      <w:r w:rsidR="007B7946" w:rsidRPr="0057091E">
        <w:rPr>
          <w:sz w:val="22"/>
          <w:szCs w:val="22"/>
        </w:rPr>
        <w:t xml:space="preserve"> zdrojů</w:t>
      </w:r>
      <w:r w:rsidR="0086705F" w:rsidRPr="0057091E">
        <w:rPr>
          <w:sz w:val="22"/>
          <w:szCs w:val="22"/>
        </w:rPr>
        <w:t>, úkol 1.1.2.4 Rozvíjet a integrovat meziknihovní výpůjční služby a dodávání dokumentů</w:t>
      </w:r>
      <w:r w:rsidR="00D409D8" w:rsidRPr="0057091E">
        <w:rPr>
          <w:sz w:val="22"/>
          <w:szCs w:val="22"/>
        </w:rPr>
        <w:t xml:space="preserve"> do knihoven</w:t>
      </w:r>
      <w:r w:rsidR="0086705F" w:rsidRPr="0057091E">
        <w:rPr>
          <w:sz w:val="22"/>
          <w:szCs w:val="22"/>
        </w:rPr>
        <w:t>)</w:t>
      </w:r>
      <w:r w:rsidR="007B7946" w:rsidRPr="0086705F">
        <w:rPr>
          <w:szCs w:val="24"/>
        </w:rPr>
        <w:t xml:space="preserve">, v návaznosti na implementaci Státní </w:t>
      </w:r>
      <w:r w:rsidR="00B16AF5">
        <w:rPr>
          <w:szCs w:val="24"/>
        </w:rPr>
        <w:t>kulturní politiky na léta 2015-</w:t>
      </w:r>
      <w:r w:rsidR="007B7946" w:rsidRPr="00D409D8">
        <w:rPr>
          <w:szCs w:val="24"/>
        </w:rPr>
        <w:t>2020 (s výhledem do roku 2025).</w:t>
      </w:r>
      <w:r w:rsidR="007B343F">
        <w:rPr>
          <w:szCs w:val="24"/>
        </w:rPr>
        <w:t xml:space="preserve"> </w:t>
      </w:r>
      <w:r w:rsidR="005E47CB">
        <w:t>Systému ZÍSKEJ je výchozí základnou pro fungování</w:t>
      </w:r>
      <w:r w:rsidR="005E47CB" w:rsidRPr="00845919">
        <w:t xml:space="preserve"> meziknihovních výpůjčních</w:t>
      </w:r>
      <w:r w:rsidR="005E47CB">
        <w:t xml:space="preserve"> služeb</w:t>
      </w:r>
      <w:r w:rsidR="005E47CB" w:rsidRPr="00845919">
        <w:t xml:space="preserve"> </w:t>
      </w:r>
      <w:r w:rsidR="005E47CB">
        <w:t>a služeb dodávání dokumentů</w:t>
      </w:r>
      <w:r w:rsidR="005E47CB" w:rsidRPr="00845919">
        <w:t xml:space="preserve"> v rámci </w:t>
      </w:r>
      <w:r w:rsidR="005E47CB">
        <w:t xml:space="preserve">národního CPK. </w:t>
      </w:r>
      <w:r w:rsidR="00F41C82">
        <w:rPr>
          <w:szCs w:val="24"/>
        </w:rPr>
        <w:t xml:space="preserve">Cílem </w:t>
      </w:r>
      <w:r w:rsidR="0086705F" w:rsidRPr="00D409D8">
        <w:rPr>
          <w:szCs w:val="24"/>
        </w:rPr>
        <w:t xml:space="preserve">v r. 2019 </w:t>
      </w:r>
      <w:r w:rsidRPr="00D409D8">
        <w:rPr>
          <w:szCs w:val="24"/>
        </w:rPr>
        <w:t>je zajistit provoz</w:t>
      </w:r>
      <w:r w:rsidR="0086705F" w:rsidRPr="00D409D8">
        <w:rPr>
          <w:szCs w:val="24"/>
        </w:rPr>
        <w:t xml:space="preserve"> servi</w:t>
      </w:r>
      <w:r w:rsidRPr="00D409D8">
        <w:rPr>
          <w:szCs w:val="24"/>
        </w:rPr>
        <w:t>sního centra</w:t>
      </w:r>
      <w:r w:rsidR="00B16AF5">
        <w:rPr>
          <w:szCs w:val="24"/>
        </w:rPr>
        <w:t xml:space="preserve"> systému</w:t>
      </w:r>
      <w:r w:rsidRPr="00D409D8">
        <w:rPr>
          <w:szCs w:val="24"/>
        </w:rPr>
        <w:t>, školení, propagaci</w:t>
      </w:r>
      <w:r w:rsidR="0086705F" w:rsidRPr="00D409D8">
        <w:rPr>
          <w:szCs w:val="24"/>
        </w:rPr>
        <w:t xml:space="preserve"> a</w:t>
      </w:r>
      <w:r w:rsidR="007B343F">
        <w:rPr>
          <w:szCs w:val="24"/>
        </w:rPr>
        <w:t xml:space="preserve"> zapojování knihoven, odbornou</w:t>
      </w:r>
      <w:r w:rsidRPr="00D409D8">
        <w:rPr>
          <w:szCs w:val="24"/>
        </w:rPr>
        <w:t xml:space="preserve"> technickou podporu a průběžné uživatelské test</w:t>
      </w:r>
      <w:r w:rsidR="0086705F" w:rsidRPr="00D409D8">
        <w:rPr>
          <w:szCs w:val="24"/>
        </w:rPr>
        <w:t>o</w:t>
      </w:r>
      <w:r w:rsidRPr="00D409D8">
        <w:rPr>
          <w:szCs w:val="24"/>
        </w:rPr>
        <w:t>v</w:t>
      </w:r>
      <w:r w:rsidR="0086705F" w:rsidRPr="00D409D8">
        <w:rPr>
          <w:szCs w:val="24"/>
        </w:rPr>
        <w:t>ání stá</w:t>
      </w:r>
      <w:r w:rsidR="00D409D8" w:rsidRPr="00D409D8">
        <w:rPr>
          <w:szCs w:val="24"/>
        </w:rPr>
        <w:t>vajících i nových modulů</w:t>
      </w:r>
      <w:r w:rsidR="0086705F" w:rsidRPr="00D409D8">
        <w:rPr>
          <w:szCs w:val="24"/>
        </w:rPr>
        <w:t>.</w:t>
      </w:r>
      <w:r w:rsidR="00D409D8" w:rsidRPr="00D409D8">
        <w:rPr>
          <w:szCs w:val="24"/>
        </w:rPr>
        <w:t xml:space="preserve"> Národní technická knihovna zajistí z </w:t>
      </w:r>
      <w:r w:rsidR="007B343F">
        <w:rPr>
          <w:szCs w:val="24"/>
        </w:rPr>
        <w:t>vlastních zdrojů rozvoj systému a</w:t>
      </w:r>
      <w:r w:rsidR="00D409D8" w:rsidRPr="00D409D8">
        <w:rPr>
          <w:szCs w:val="24"/>
        </w:rPr>
        <w:t xml:space="preserve"> právní a odborné konzultace</w:t>
      </w:r>
      <w:r w:rsidR="007B7946" w:rsidRPr="00D409D8">
        <w:rPr>
          <w:iCs/>
          <w:szCs w:val="24"/>
        </w:rPr>
        <w:t>.</w:t>
      </w:r>
      <w:r w:rsidR="00D409D8" w:rsidRPr="00D409D8">
        <w:rPr>
          <w:iCs/>
          <w:szCs w:val="24"/>
        </w:rPr>
        <w:t xml:space="preserve"> NTK</w:t>
      </w:r>
      <w:r w:rsidR="007B7946" w:rsidRPr="00D409D8">
        <w:rPr>
          <w:iCs/>
          <w:szCs w:val="24"/>
        </w:rPr>
        <w:t xml:space="preserve"> vzhledem k tomu žádá o udělení výjimky z čl. II. odst. 4</w:t>
      </w:r>
      <w:r w:rsidR="007B7946" w:rsidRPr="00D409D8">
        <w:rPr>
          <w:szCs w:val="24"/>
        </w:rPr>
        <w:t>)</w:t>
      </w:r>
      <w:r w:rsidR="007B7946" w:rsidRPr="00D409D8">
        <w:rPr>
          <w:iCs/>
          <w:szCs w:val="24"/>
        </w:rPr>
        <w:t xml:space="preserve"> příkazu ministra kultury č. 25/2010 a o poskytnutí dotace ve výši 100% plánovaných celkových nákladů projektu.</w:t>
      </w:r>
    </w:p>
    <w:p w:rsidR="00B003FD" w:rsidRPr="00BA47E9" w:rsidRDefault="0057091E" w:rsidP="0057091E">
      <w:pPr>
        <w:jc w:val="both"/>
        <w:rPr>
          <w:sz w:val="24"/>
          <w:szCs w:val="24"/>
        </w:rPr>
      </w:pPr>
      <w:r w:rsidRPr="00F41C82">
        <w:rPr>
          <w:sz w:val="24"/>
          <w:szCs w:val="24"/>
          <w:u w:val="single"/>
        </w:rPr>
        <w:t>- projekt č. 2 (KNAV)</w:t>
      </w:r>
      <w:r w:rsidR="00136694">
        <w:rPr>
          <w:sz w:val="24"/>
          <w:szCs w:val="24"/>
        </w:rPr>
        <w:t xml:space="preserve"> - komise při posuzování</w:t>
      </w:r>
      <w:r w:rsidR="005E47CB">
        <w:rPr>
          <w:sz w:val="24"/>
          <w:szCs w:val="24"/>
        </w:rPr>
        <w:t xml:space="preserve"> tohoto</w:t>
      </w:r>
      <w:r w:rsidR="00136694">
        <w:rPr>
          <w:sz w:val="24"/>
          <w:szCs w:val="24"/>
        </w:rPr>
        <w:t xml:space="preserve"> </w:t>
      </w:r>
      <w:r>
        <w:rPr>
          <w:sz w:val="24"/>
          <w:szCs w:val="24"/>
        </w:rPr>
        <w:t xml:space="preserve">projektu </w:t>
      </w:r>
      <w:r w:rsidR="00125B36">
        <w:rPr>
          <w:sz w:val="24"/>
          <w:szCs w:val="24"/>
        </w:rPr>
        <w:t xml:space="preserve">již </w:t>
      </w:r>
      <w:r>
        <w:rPr>
          <w:sz w:val="24"/>
          <w:szCs w:val="24"/>
        </w:rPr>
        <w:t>v loňském roce doporučila na rok 2019</w:t>
      </w:r>
      <w:r w:rsidRPr="00D409D8">
        <w:rPr>
          <w:sz w:val="24"/>
          <w:szCs w:val="24"/>
        </w:rPr>
        <w:t xml:space="preserve"> </w:t>
      </w:r>
      <w:r>
        <w:rPr>
          <w:sz w:val="24"/>
          <w:szCs w:val="24"/>
        </w:rPr>
        <w:t xml:space="preserve">podat </w:t>
      </w:r>
      <w:r w:rsidRPr="00D409D8">
        <w:rPr>
          <w:sz w:val="24"/>
          <w:szCs w:val="24"/>
        </w:rPr>
        <w:t xml:space="preserve">žádost o poskytnutí dotace ve </w:t>
      </w:r>
      <w:r>
        <w:rPr>
          <w:sz w:val="24"/>
          <w:szCs w:val="24"/>
        </w:rPr>
        <w:t xml:space="preserve">výši </w:t>
      </w:r>
      <w:r w:rsidRPr="00D409D8">
        <w:rPr>
          <w:sz w:val="24"/>
          <w:szCs w:val="24"/>
        </w:rPr>
        <w:t>100%</w:t>
      </w:r>
      <w:r>
        <w:rPr>
          <w:sz w:val="24"/>
          <w:szCs w:val="24"/>
        </w:rPr>
        <w:t xml:space="preserve"> celkových nákladů, </w:t>
      </w:r>
      <w:r w:rsidRPr="00D409D8">
        <w:rPr>
          <w:sz w:val="24"/>
          <w:szCs w:val="24"/>
        </w:rPr>
        <w:t>ve smyslu výjimky po</w:t>
      </w:r>
      <w:r>
        <w:rPr>
          <w:sz w:val="24"/>
          <w:szCs w:val="24"/>
        </w:rPr>
        <w:t xml:space="preserve">dle </w:t>
      </w:r>
      <w:r w:rsidR="00F41C82" w:rsidRPr="00D409D8">
        <w:rPr>
          <w:iCs/>
          <w:sz w:val="24"/>
          <w:szCs w:val="24"/>
        </w:rPr>
        <w:t>čl. II. odst. 4</w:t>
      </w:r>
      <w:r w:rsidR="00F41C82" w:rsidRPr="00D409D8">
        <w:rPr>
          <w:sz w:val="24"/>
          <w:szCs w:val="24"/>
        </w:rPr>
        <w:t>)</w:t>
      </w:r>
      <w:r w:rsidR="00F41C82" w:rsidRPr="00D409D8">
        <w:rPr>
          <w:iCs/>
          <w:sz w:val="24"/>
          <w:szCs w:val="24"/>
        </w:rPr>
        <w:t xml:space="preserve"> příkazu ministra kultury č. 25/2010</w:t>
      </w:r>
      <w:r>
        <w:rPr>
          <w:sz w:val="24"/>
          <w:szCs w:val="24"/>
        </w:rPr>
        <w:t xml:space="preserve"> (viz zápis ze dne </w:t>
      </w:r>
      <w:r w:rsidRPr="007A2015">
        <w:rPr>
          <w:sz w:val="24"/>
          <w:szCs w:val="24"/>
        </w:rPr>
        <w:t>8. 2. 2018</w:t>
      </w:r>
      <w:r w:rsidR="005E47CB">
        <w:rPr>
          <w:sz w:val="24"/>
          <w:szCs w:val="24"/>
        </w:rPr>
        <w:t>). Letošní žádost</w:t>
      </w:r>
      <w:r>
        <w:rPr>
          <w:sz w:val="24"/>
          <w:szCs w:val="24"/>
        </w:rPr>
        <w:t xml:space="preserve"> znovu obsahuje ve spoluúčasti zbytné režijní náklady.</w:t>
      </w:r>
      <w:r w:rsidR="00BA47E9">
        <w:rPr>
          <w:sz w:val="24"/>
          <w:szCs w:val="24"/>
        </w:rPr>
        <w:t xml:space="preserve"> </w:t>
      </w:r>
      <w:r>
        <w:rPr>
          <w:sz w:val="24"/>
          <w:szCs w:val="24"/>
        </w:rPr>
        <w:t xml:space="preserve">Pokud Knihovna AV ČR, </w:t>
      </w:r>
      <w:proofErr w:type="gramStart"/>
      <w:r>
        <w:rPr>
          <w:sz w:val="24"/>
          <w:szCs w:val="24"/>
        </w:rPr>
        <w:t>v.v.</w:t>
      </w:r>
      <w:proofErr w:type="gramEnd"/>
      <w:r>
        <w:rPr>
          <w:sz w:val="24"/>
          <w:szCs w:val="24"/>
        </w:rPr>
        <w:t xml:space="preserve">i. požádá dodatečně </w:t>
      </w:r>
      <w:r w:rsidR="0063093A">
        <w:rPr>
          <w:sz w:val="24"/>
          <w:szCs w:val="24"/>
        </w:rPr>
        <w:t xml:space="preserve">v rámci dotačního řízení </w:t>
      </w:r>
      <w:r>
        <w:rPr>
          <w:sz w:val="24"/>
          <w:szCs w:val="24"/>
        </w:rPr>
        <w:t>na rok 2019 o udělení výjimky z příkazu ministra</w:t>
      </w:r>
      <w:r>
        <w:rPr>
          <w:iCs/>
          <w:sz w:val="24"/>
          <w:szCs w:val="24"/>
        </w:rPr>
        <w:t>, komise doporuču</w:t>
      </w:r>
      <w:r w:rsidR="00125B36">
        <w:rPr>
          <w:iCs/>
          <w:sz w:val="24"/>
          <w:szCs w:val="24"/>
        </w:rPr>
        <w:t>j</w:t>
      </w:r>
      <w:r w:rsidR="00F41C82">
        <w:rPr>
          <w:iCs/>
          <w:sz w:val="24"/>
          <w:szCs w:val="24"/>
        </w:rPr>
        <w:t xml:space="preserve">e </w:t>
      </w:r>
      <w:r w:rsidR="0063093A">
        <w:rPr>
          <w:iCs/>
          <w:sz w:val="24"/>
          <w:szCs w:val="24"/>
        </w:rPr>
        <w:t>žádosti vyhovět. V</w:t>
      </w:r>
      <w:r w:rsidR="00136694">
        <w:rPr>
          <w:iCs/>
          <w:sz w:val="24"/>
          <w:szCs w:val="24"/>
        </w:rPr>
        <w:t xml:space="preserve"> projektu s</w:t>
      </w:r>
      <w:r w:rsidR="00136694" w:rsidRPr="00327878">
        <w:rPr>
          <w:iCs/>
          <w:sz w:val="24"/>
          <w:szCs w:val="24"/>
        </w:rPr>
        <w:t>e</w:t>
      </w:r>
      <w:r w:rsidR="00136694">
        <w:rPr>
          <w:iCs/>
          <w:sz w:val="24"/>
          <w:szCs w:val="24"/>
        </w:rPr>
        <w:t xml:space="preserve"> ne</w:t>
      </w:r>
      <w:r w:rsidR="00136694" w:rsidRPr="00327878">
        <w:rPr>
          <w:iCs/>
          <w:sz w:val="24"/>
          <w:szCs w:val="24"/>
        </w:rPr>
        <w:t>jedná o podpo</w:t>
      </w:r>
      <w:r w:rsidR="00136694">
        <w:rPr>
          <w:iCs/>
          <w:sz w:val="24"/>
          <w:szCs w:val="24"/>
        </w:rPr>
        <w:t xml:space="preserve">ru vlastní činnosti </w:t>
      </w:r>
      <w:r w:rsidR="00BA47E9">
        <w:rPr>
          <w:iCs/>
          <w:sz w:val="24"/>
          <w:szCs w:val="24"/>
        </w:rPr>
        <w:t>KNAV ČR</w:t>
      </w:r>
      <w:r w:rsidR="0063093A">
        <w:rPr>
          <w:iCs/>
          <w:sz w:val="24"/>
          <w:szCs w:val="24"/>
        </w:rPr>
        <w:t>, ale</w:t>
      </w:r>
      <w:r w:rsidR="00136694">
        <w:rPr>
          <w:iCs/>
          <w:sz w:val="24"/>
          <w:szCs w:val="24"/>
        </w:rPr>
        <w:t xml:space="preserve"> </w:t>
      </w:r>
      <w:r w:rsidR="0063093A">
        <w:rPr>
          <w:iCs/>
          <w:sz w:val="24"/>
          <w:szCs w:val="24"/>
        </w:rPr>
        <w:t>v</w:t>
      </w:r>
      <w:r w:rsidR="00136694">
        <w:rPr>
          <w:iCs/>
          <w:sz w:val="24"/>
          <w:szCs w:val="24"/>
        </w:rPr>
        <w:t xml:space="preserve"> r. 2019 </w:t>
      </w:r>
      <w:r w:rsidR="00BA47E9">
        <w:rPr>
          <w:iCs/>
          <w:sz w:val="24"/>
          <w:szCs w:val="24"/>
        </w:rPr>
        <w:t>bude zajišťována</w:t>
      </w:r>
      <w:r w:rsidR="00125B36">
        <w:rPr>
          <w:iCs/>
          <w:sz w:val="24"/>
          <w:szCs w:val="24"/>
        </w:rPr>
        <w:t xml:space="preserve"> </w:t>
      </w:r>
      <w:r w:rsidR="00BA47E9">
        <w:rPr>
          <w:iCs/>
          <w:sz w:val="24"/>
          <w:szCs w:val="24"/>
        </w:rPr>
        <w:t>nezbytná</w:t>
      </w:r>
      <w:r w:rsidR="00125B36">
        <w:rPr>
          <w:iCs/>
          <w:sz w:val="24"/>
          <w:szCs w:val="24"/>
        </w:rPr>
        <w:t xml:space="preserve"> </w:t>
      </w:r>
      <w:r w:rsidR="00BA47E9">
        <w:rPr>
          <w:iCs/>
          <w:sz w:val="24"/>
          <w:szCs w:val="24"/>
        </w:rPr>
        <w:t>podpora</w:t>
      </w:r>
      <w:r w:rsidR="00125B36">
        <w:rPr>
          <w:iCs/>
          <w:sz w:val="24"/>
          <w:szCs w:val="24"/>
        </w:rPr>
        <w:t xml:space="preserve"> činnost</w:t>
      </w:r>
      <w:r w:rsidR="0063093A">
        <w:rPr>
          <w:iCs/>
          <w:sz w:val="24"/>
          <w:szCs w:val="24"/>
        </w:rPr>
        <w:t>i</w:t>
      </w:r>
      <w:r w:rsidR="00125B36">
        <w:rPr>
          <w:iCs/>
          <w:sz w:val="24"/>
          <w:szCs w:val="24"/>
        </w:rPr>
        <w:t xml:space="preserve"> expertního pracovního týmu CPK, jeho</w:t>
      </w:r>
      <w:r w:rsidR="00BA47E9">
        <w:rPr>
          <w:iCs/>
          <w:sz w:val="24"/>
          <w:szCs w:val="24"/>
        </w:rPr>
        <w:t xml:space="preserve"> koordin</w:t>
      </w:r>
      <w:r w:rsidR="00F41C82">
        <w:rPr>
          <w:iCs/>
          <w:sz w:val="24"/>
          <w:szCs w:val="24"/>
        </w:rPr>
        <w:t>ace a řízení</w:t>
      </w:r>
      <w:r w:rsidR="00BA47E9">
        <w:rPr>
          <w:iCs/>
          <w:sz w:val="24"/>
          <w:szCs w:val="24"/>
        </w:rPr>
        <w:t>, školení a propagace</w:t>
      </w:r>
      <w:r w:rsidR="00136694">
        <w:rPr>
          <w:iCs/>
          <w:sz w:val="24"/>
          <w:szCs w:val="24"/>
        </w:rPr>
        <w:t xml:space="preserve"> CPK. </w:t>
      </w:r>
      <w:r w:rsidR="00F41C82">
        <w:rPr>
          <w:iCs/>
          <w:sz w:val="24"/>
          <w:szCs w:val="24"/>
        </w:rPr>
        <w:t xml:space="preserve">Projekt tak </w:t>
      </w:r>
      <w:r w:rsidR="002A0D59">
        <w:rPr>
          <w:iCs/>
          <w:sz w:val="24"/>
          <w:szCs w:val="24"/>
        </w:rPr>
        <w:t xml:space="preserve">rovněž </w:t>
      </w:r>
      <w:r w:rsidR="00BA47E9">
        <w:rPr>
          <w:iCs/>
          <w:sz w:val="24"/>
          <w:szCs w:val="24"/>
        </w:rPr>
        <w:t>přispívá</w:t>
      </w:r>
      <w:bookmarkStart w:id="0" w:name="_GoBack"/>
      <w:bookmarkEnd w:id="0"/>
      <w:r w:rsidR="00F41C82">
        <w:rPr>
          <w:iCs/>
          <w:sz w:val="24"/>
          <w:szCs w:val="24"/>
        </w:rPr>
        <w:t xml:space="preserve"> </w:t>
      </w:r>
      <w:r w:rsidR="00136694">
        <w:rPr>
          <w:iCs/>
          <w:sz w:val="24"/>
          <w:szCs w:val="24"/>
        </w:rPr>
        <w:t>k rozvoji moderních knihovnických služeb na úrovni centralizovaného národního řešení, v souladu s opatřením 1.1.2 Koncepce rozvoje knihoven ČR na léta 2017-2020.</w:t>
      </w:r>
    </w:p>
    <w:p w:rsidR="0057091E" w:rsidRDefault="0057091E">
      <w:pPr>
        <w:pStyle w:val="Zkladntextodsazen21"/>
        <w:ind w:firstLine="0"/>
        <w:rPr>
          <w:u w:val="single"/>
        </w:rPr>
      </w:pPr>
    </w:p>
    <w:p w:rsidR="0057091E" w:rsidRDefault="0057091E" w:rsidP="0057091E">
      <w:pPr>
        <w:pStyle w:val="Zkladntextodsazen21"/>
        <w:ind w:firstLine="0"/>
        <w:rPr>
          <w:u w:val="single"/>
        </w:rPr>
      </w:pPr>
      <w:r>
        <w:rPr>
          <w:u w:val="single"/>
        </w:rPr>
        <w:t>Oddělení literatury a knihoven MK udělení obou výše uvedených výjimek doporučuje.</w:t>
      </w:r>
    </w:p>
    <w:p w:rsidR="000F22B6" w:rsidRDefault="000F22B6">
      <w:pPr>
        <w:pStyle w:val="Zkladntextodsazen21"/>
        <w:ind w:firstLine="0"/>
        <w:rPr>
          <w:shd w:val="clear" w:color="auto" w:fill="FFFF00"/>
        </w:rPr>
      </w:pPr>
    </w:p>
    <w:p w:rsidR="00BA47E9" w:rsidRDefault="00BA47E9">
      <w:pPr>
        <w:pStyle w:val="Zkladntextodsazen21"/>
        <w:ind w:firstLine="0"/>
        <w:rPr>
          <w:shd w:val="clear" w:color="auto" w:fill="FFFF00"/>
        </w:rPr>
      </w:pPr>
    </w:p>
    <w:p w:rsidR="000C23AE" w:rsidRDefault="00F41C82">
      <w:pPr>
        <w:pStyle w:val="Zkladntextodsazen21"/>
        <w:ind w:firstLine="0"/>
        <w:rPr>
          <w:b/>
          <w:szCs w:val="24"/>
          <w:u w:val="single"/>
        </w:rPr>
      </w:pPr>
      <w:r>
        <w:rPr>
          <w:b/>
        </w:rPr>
        <w:t>5</w:t>
      </w:r>
      <w:r w:rsidR="007B7946">
        <w:rPr>
          <w:b/>
        </w:rPr>
        <w:t>. Doporučení komise a podmínky poskytnutí dotace:</w:t>
      </w:r>
    </w:p>
    <w:p w:rsidR="00D409D8" w:rsidRDefault="00C00583" w:rsidP="00951F4F">
      <w:pPr>
        <w:jc w:val="both"/>
        <w:rPr>
          <w:sz w:val="24"/>
          <w:szCs w:val="24"/>
        </w:rPr>
      </w:pPr>
      <w:r w:rsidRPr="00D409D8">
        <w:rPr>
          <w:sz w:val="24"/>
          <w:szCs w:val="24"/>
        </w:rPr>
        <w:t>- projekt</w:t>
      </w:r>
      <w:r w:rsidR="003D1418" w:rsidRPr="00D409D8">
        <w:rPr>
          <w:sz w:val="24"/>
          <w:szCs w:val="24"/>
        </w:rPr>
        <w:t xml:space="preserve"> č. 1</w:t>
      </w:r>
      <w:r w:rsidRPr="00D409D8">
        <w:rPr>
          <w:sz w:val="24"/>
          <w:szCs w:val="24"/>
        </w:rPr>
        <w:t xml:space="preserve"> (NTK): </w:t>
      </w:r>
      <w:r w:rsidR="00D409D8">
        <w:rPr>
          <w:sz w:val="24"/>
          <w:szCs w:val="24"/>
        </w:rPr>
        <w:t xml:space="preserve">V souladu se zadávací dokumentací </w:t>
      </w:r>
      <w:r w:rsidR="00577EFC">
        <w:rPr>
          <w:sz w:val="24"/>
          <w:szCs w:val="24"/>
        </w:rPr>
        <w:t xml:space="preserve">podprogramu </w:t>
      </w:r>
      <w:r w:rsidR="00D409D8">
        <w:rPr>
          <w:sz w:val="24"/>
          <w:szCs w:val="24"/>
        </w:rPr>
        <w:t xml:space="preserve">VISK 8/B na rok 2019 </w:t>
      </w:r>
      <w:r w:rsidR="007B343F">
        <w:rPr>
          <w:sz w:val="24"/>
        </w:rPr>
        <w:t>z dotace nelze</w:t>
      </w:r>
      <w:r w:rsidR="00D409D8" w:rsidRPr="00577EFC">
        <w:rPr>
          <w:sz w:val="24"/>
        </w:rPr>
        <w:t xml:space="preserve"> hradit mzdy/platy zaměstnanců</w:t>
      </w:r>
      <w:r w:rsidR="00D409D8">
        <w:rPr>
          <w:sz w:val="24"/>
        </w:rPr>
        <w:t xml:space="preserve">. Vzhledem k tomu </w:t>
      </w:r>
      <w:r w:rsidR="00577EFC">
        <w:rPr>
          <w:sz w:val="24"/>
        </w:rPr>
        <w:t xml:space="preserve">byla dotace krácena na částku </w:t>
      </w:r>
      <w:r w:rsidR="00D409D8" w:rsidRPr="00577EFC">
        <w:rPr>
          <w:sz w:val="24"/>
          <w:u w:val="single"/>
        </w:rPr>
        <w:t xml:space="preserve">2 066 000 </w:t>
      </w:r>
      <w:r w:rsidR="00577EFC" w:rsidRPr="00577EFC">
        <w:rPr>
          <w:sz w:val="24"/>
          <w:u w:val="single"/>
        </w:rPr>
        <w:t>Kč (</w:t>
      </w:r>
      <w:r w:rsidR="00D409D8" w:rsidRPr="00577EFC">
        <w:rPr>
          <w:sz w:val="24"/>
          <w:u w:val="single"/>
        </w:rPr>
        <w:t>z toho služby: 1 706 000 Kč, OON: 360 000 Kč</w:t>
      </w:r>
      <w:r w:rsidR="00577EFC" w:rsidRPr="00577EFC">
        <w:rPr>
          <w:sz w:val="24"/>
          <w:u w:val="single"/>
        </w:rPr>
        <w:t>)</w:t>
      </w:r>
      <w:r w:rsidR="00D409D8" w:rsidRPr="00577EFC">
        <w:rPr>
          <w:sz w:val="24"/>
        </w:rPr>
        <w:t>.</w:t>
      </w:r>
      <w:r w:rsidR="00577EFC" w:rsidRPr="00577EFC">
        <w:rPr>
          <w:sz w:val="24"/>
        </w:rPr>
        <w:t xml:space="preserve"> </w:t>
      </w:r>
      <w:r w:rsidR="0057091E">
        <w:rPr>
          <w:b/>
          <w:sz w:val="24"/>
        </w:rPr>
        <w:t>Podmínka</w:t>
      </w:r>
      <w:r w:rsidR="00D409D8" w:rsidRPr="0057091E">
        <w:rPr>
          <w:b/>
          <w:sz w:val="24"/>
        </w:rPr>
        <w:t xml:space="preserve">: </w:t>
      </w:r>
      <w:r w:rsidR="00577EFC">
        <w:rPr>
          <w:sz w:val="24"/>
        </w:rPr>
        <w:t xml:space="preserve">V termínu do 31. 5. 2019 </w:t>
      </w:r>
      <w:proofErr w:type="gramStart"/>
      <w:r w:rsidR="00577EFC">
        <w:rPr>
          <w:sz w:val="24"/>
        </w:rPr>
        <w:t>je</w:t>
      </w:r>
      <w:proofErr w:type="gramEnd"/>
      <w:r w:rsidR="00577EFC">
        <w:rPr>
          <w:sz w:val="24"/>
        </w:rPr>
        <w:t xml:space="preserve"> třeba uzavřít smlouvy na využití systému </w:t>
      </w:r>
      <w:proofErr w:type="gramStart"/>
      <w:r w:rsidR="00577EFC">
        <w:rPr>
          <w:sz w:val="24"/>
        </w:rPr>
        <w:t>ZÍSKEJ</w:t>
      </w:r>
      <w:proofErr w:type="gramEnd"/>
      <w:r w:rsidR="00577EFC">
        <w:rPr>
          <w:sz w:val="24"/>
        </w:rPr>
        <w:t xml:space="preserve"> alespoň se třemi knihovnami.</w:t>
      </w:r>
    </w:p>
    <w:p w:rsidR="000C23AE" w:rsidRDefault="000C23AE">
      <w:pPr>
        <w:pBdr>
          <w:bottom w:val="single" w:sz="8" w:space="1" w:color="000000"/>
        </w:pBdr>
        <w:jc w:val="both"/>
        <w:rPr>
          <w:sz w:val="24"/>
        </w:rPr>
      </w:pPr>
    </w:p>
    <w:p w:rsidR="000F22B6" w:rsidRDefault="000F22B6">
      <w:pPr>
        <w:jc w:val="both"/>
        <w:rPr>
          <w:sz w:val="24"/>
        </w:rPr>
      </w:pPr>
    </w:p>
    <w:p w:rsidR="000C23AE" w:rsidRDefault="00F41C82">
      <w:pPr>
        <w:jc w:val="both"/>
        <w:rPr>
          <w:b/>
          <w:sz w:val="24"/>
          <w:u w:val="single"/>
        </w:rPr>
      </w:pPr>
      <w:r>
        <w:rPr>
          <w:b/>
          <w:sz w:val="24"/>
        </w:rPr>
        <w:t>6</w:t>
      </w:r>
      <w:r w:rsidR="007B7946">
        <w:rPr>
          <w:b/>
          <w:sz w:val="24"/>
        </w:rPr>
        <w:t>. Závěr - přidělení finančních prostředků:</w:t>
      </w:r>
    </w:p>
    <w:p w:rsidR="000C23AE" w:rsidRPr="006D4232" w:rsidRDefault="003D1418" w:rsidP="006D4232">
      <w:pPr>
        <w:pStyle w:val="Odstavecseseznamem"/>
        <w:numPr>
          <w:ilvl w:val="0"/>
          <w:numId w:val="5"/>
        </w:numPr>
        <w:ind w:left="426" w:hanging="426"/>
        <w:jc w:val="both"/>
        <w:rPr>
          <w:sz w:val="24"/>
        </w:rPr>
      </w:pPr>
      <w:r>
        <w:rPr>
          <w:sz w:val="24"/>
        </w:rPr>
        <w:t>Ve VISK 8/B byly přihlášeny</w:t>
      </w:r>
      <w:r w:rsidR="007B7946" w:rsidRPr="006D4232">
        <w:rPr>
          <w:sz w:val="24"/>
        </w:rPr>
        <w:t xml:space="preserve"> a komisi pře</w:t>
      </w:r>
      <w:r>
        <w:rPr>
          <w:sz w:val="24"/>
        </w:rPr>
        <w:t>dloženy</w:t>
      </w:r>
      <w:r w:rsidR="007B7946" w:rsidRPr="006D4232">
        <w:rPr>
          <w:sz w:val="24"/>
        </w:rPr>
        <w:t xml:space="preserve"> k hodnocení celkem </w:t>
      </w:r>
      <w:r>
        <w:rPr>
          <w:b/>
          <w:bCs/>
          <w:sz w:val="24"/>
        </w:rPr>
        <w:t>2 projekty</w:t>
      </w:r>
      <w:r w:rsidR="007B7946" w:rsidRPr="006D4232">
        <w:rPr>
          <w:sz w:val="24"/>
        </w:rPr>
        <w:t xml:space="preserve">. Souhrn jejich finančních požadavků činil </w:t>
      </w:r>
      <w:r>
        <w:rPr>
          <w:b/>
          <w:bCs/>
          <w:sz w:val="24"/>
          <w:szCs w:val="24"/>
        </w:rPr>
        <w:t>3 557</w:t>
      </w:r>
      <w:r w:rsidR="007B7946" w:rsidRPr="006D4232">
        <w:rPr>
          <w:b/>
          <w:bCs/>
          <w:sz w:val="24"/>
          <w:szCs w:val="24"/>
        </w:rPr>
        <w:t xml:space="preserve"> 000 Kč</w:t>
      </w:r>
      <w:r w:rsidR="007B7946" w:rsidRPr="006D4232">
        <w:rPr>
          <w:sz w:val="24"/>
          <w:szCs w:val="24"/>
        </w:rPr>
        <w:t>.</w:t>
      </w:r>
    </w:p>
    <w:p w:rsidR="001B02D6" w:rsidRDefault="007B7946" w:rsidP="006D4232">
      <w:pPr>
        <w:pStyle w:val="Odstavecseseznamem"/>
        <w:numPr>
          <w:ilvl w:val="0"/>
          <w:numId w:val="5"/>
        </w:numPr>
        <w:ind w:left="426" w:hanging="426"/>
        <w:jc w:val="both"/>
        <w:rPr>
          <w:sz w:val="24"/>
        </w:rPr>
      </w:pPr>
      <w:r w:rsidRPr="006D4232">
        <w:rPr>
          <w:sz w:val="24"/>
        </w:rPr>
        <w:t xml:space="preserve">Komise doporučila k finanční podpoře </w:t>
      </w:r>
      <w:r w:rsidRPr="00D411F5">
        <w:rPr>
          <w:sz w:val="24"/>
        </w:rPr>
        <w:t>MK</w:t>
      </w:r>
      <w:r w:rsidR="00744D8C" w:rsidRPr="00D411F5">
        <w:rPr>
          <w:sz w:val="24"/>
        </w:rPr>
        <w:t xml:space="preserve"> </w:t>
      </w:r>
      <w:r w:rsidR="003D1418">
        <w:rPr>
          <w:b/>
          <w:sz w:val="24"/>
        </w:rPr>
        <w:t>2 projekty</w:t>
      </w:r>
      <w:r w:rsidRPr="006D4232">
        <w:rPr>
          <w:sz w:val="24"/>
        </w:rPr>
        <w:t>. Celkem byla rozdělena částka</w:t>
      </w:r>
      <w:r w:rsidR="001B02D6">
        <w:rPr>
          <w:sz w:val="24"/>
        </w:rPr>
        <w:t xml:space="preserve"> </w:t>
      </w:r>
      <w:r w:rsidR="001B02D6" w:rsidRPr="001B02D6">
        <w:rPr>
          <w:b/>
          <w:sz w:val="24"/>
        </w:rPr>
        <w:t>3 185 000 Kč</w:t>
      </w:r>
      <w:r w:rsidR="00EC6495">
        <w:rPr>
          <w:sz w:val="24"/>
        </w:rPr>
        <w:t xml:space="preserve"> neinvestičních prostředků.</w:t>
      </w:r>
    </w:p>
    <w:p w:rsidR="001B02D6" w:rsidRDefault="001B02D6">
      <w:pPr>
        <w:jc w:val="both"/>
        <w:rPr>
          <w:sz w:val="24"/>
        </w:rPr>
      </w:pPr>
    </w:p>
    <w:tbl>
      <w:tblPr>
        <w:tblW w:w="9654" w:type="dxa"/>
        <w:tblInd w:w="55" w:type="dxa"/>
        <w:tblCellMar>
          <w:left w:w="70" w:type="dxa"/>
          <w:right w:w="70" w:type="dxa"/>
        </w:tblCellMar>
        <w:tblLook w:val="04A0" w:firstRow="1" w:lastRow="0" w:firstColumn="1" w:lastColumn="0" w:noHBand="0" w:noVBand="1"/>
      </w:tblPr>
      <w:tblGrid>
        <w:gridCol w:w="599"/>
        <w:gridCol w:w="1192"/>
        <w:gridCol w:w="2760"/>
        <w:gridCol w:w="1155"/>
        <w:gridCol w:w="1397"/>
        <w:gridCol w:w="2551"/>
      </w:tblGrid>
      <w:tr w:rsidR="001B02D6" w:rsidRPr="001B02D6" w:rsidTr="000F22B6">
        <w:trPr>
          <w:trHeight w:val="288"/>
        </w:trPr>
        <w:tc>
          <w:tcPr>
            <w:tcW w:w="599" w:type="dxa"/>
            <w:tcBorders>
              <w:top w:val="single" w:sz="4" w:space="0" w:color="auto"/>
              <w:left w:val="single" w:sz="4" w:space="0" w:color="auto"/>
              <w:bottom w:val="single" w:sz="4" w:space="0" w:color="auto"/>
              <w:right w:val="single" w:sz="4" w:space="0" w:color="auto"/>
            </w:tcBorders>
            <w:shd w:val="clear" w:color="000000" w:fill="FF99CC"/>
            <w:noWrap/>
            <w:vAlign w:val="bottom"/>
            <w:hideMark/>
          </w:tcPr>
          <w:p w:rsidR="001B02D6" w:rsidRPr="001B02D6" w:rsidRDefault="001B02D6" w:rsidP="001B02D6">
            <w:pPr>
              <w:suppressAutoHyphens w:val="0"/>
              <w:jc w:val="center"/>
              <w:rPr>
                <w:b/>
                <w:bCs/>
                <w:sz w:val="22"/>
                <w:szCs w:val="22"/>
                <w:lang w:eastAsia="cs-CZ"/>
              </w:rPr>
            </w:pPr>
            <w:r w:rsidRPr="001B02D6">
              <w:rPr>
                <w:b/>
                <w:bCs/>
                <w:sz w:val="22"/>
                <w:szCs w:val="22"/>
                <w:lang w:eastAsia="cs-CZ"/>
              </w:rPr>
              <w:t xml:space="preserve">Č. </w:t>
            </w:r>
            <w:proofErr w:type="spellStart"/>
            <w:r w:rsidRPr="001B02D6">
              <w:rPr>
                <w:b/>
                <w:bCs/>
                <w:sz w:val="22"/>
                <w:szCs w:val="22"/>
                <w:lang w:eastAsia="cs-CZ"/>
              </w:rPr>
              <w:t>proj</w:t>
            </w:r>
            <w:proofErr w:type="spellEnd"/>
            <w:r w:rsidRPr="001B02D6">
              <w:rPr>
                <w:b/>
                <w:bCs/>
                <w:sz w:val="22"/>
                <w:szCs w:val="22"/>
                <w:lang w:eastAsia="cs-CZ"/>
              </w:rPr>
              <w:t>.</w:t>
            </w:r>
          </w:p>
        </w:tc>
        <w:tc>
          <w:tcPr>
            <w:tcW w:w="1192" w:type="dxa"/>
            <w:tcBorders>
              <w:top w:val="single" w:sz="4" w:space="0" w:color="auto"/>
              <w:left w:val="nil"/>
              <w:bottom w:val="single" w:sz="4" w:space="0" w:color="auto"/>
              <w:right w:val="single" w:sz="4" w:space="0" w:color="auto"/>
            </w:tcBorders>
            <w:shd w:val="clear" w:color="000000" w:fill="FF99CC"/>
            <w:noWrap/>
            <w:vAlign w:val="bottom"/>
            <w:hideMark/>
          </w:tcPr>
          <w:p w:rsidR="001B02D6" w:rsidRPr="001B02D6" w:rsidRDefault="001B02D6" w:rsidP="001B02D6">
            <w:pPr>
              <w:suppressAutoHyphens w:val="0"/>
              <w:jc w:val="center"/>
              <w:rPr>
                <w:b/>
                <w:bCs/>
                <w:sz w:val="22"/>
                <w:szCs w:val="22"/>
                <w:lang w:eastAsia="cs-CZ"/>
              </w:rPr>
            </w:pPr>
            <w:proofErr w:type="gramStart"/>
            <w:r w:rsidRPr="001B02D6">
              <w:rPr>
                <w:b/>
                <w:bCs/>
                <w:sz w:val="22"/>
                <w:szCs w:val="22"/>
                <w:lang w:eastAsia="cs-CZ"/>
              </w:rPr>
              <w:t>Č.j.</w:t>
            </w:r>
            <w:proofErr w:type="gramEnd"/>
          </w:p>
        </w:tc>
        <w:tc>
          <w:tcPr>
            <w:tcW w:w="2760" w:type="dxa"/>
            <w:tcBorders>
              <w:top w:val="single" w:sz="4" w:space="0" w:color="auto"/>
              <w:left w:val="nil"/>
              <w:bottom w:val="single" w:sz="4" w:space="0" w:color="auto"/>
              <w:right w:val="nil"/>
            </w:tcBorders>
            <w:shd w:val="clear" w:color="000000" w:fill="FF99CC"/>
            <w:noWrap/>
            <w:vAlign w:val="bottom"/>
            <w:hideMark/>
          </w:tcPr>
          <w:p w:rsidR="001B02D6" w:rsidRPr="001B02D6" w:rsidRDefault="001B02D6" w:rsidP="001B02D6">
            <w:pPr>
              <w:suppressAutoHyphens w:val="0"/>
              <w:jc w:val="center"/>
              <w:rPr>
                <w:b/>
                <w:bCs/>
                <w:sz w:val="22"/>
                <w:szCs w:val="22"/>
                <w:lang w:eastAsia="cs-CZ"/>
              </w:rPr>
            </w:pPr>
            <w:r w:rsidRPr="001B02D6">
              <w:rPr>
                <w:b/>
                <w:bCs/>
                <w:sz w:val="22"/>
                <w:szCs w:val="22"/>
                <w:lang w:eastAsia="cs-CZ"/>
              </w:rPr>
              <w:t>Název</w:t>
            </w:r>
          </w:p>
        </w:tc>
        <w:tc>
          <w:tcPr>
            <w:tcW w:w="1155" w:type="dxa"/>
            <w:tcBorders>
              <w:top w:val="single" w:sz="4" w:space="0" w:color="auto"/>
              <w:left w:val="single" w:sz="4" w:space="0" w:color="auto"/>
              <w:bottom w:val="single" w:sz="4" w:space="0" w:color="auto"/>
              <w:right w:val="single" w:sz="4" w:space="0" w:color="auto"/>
            </w:tcBorders>
            <w:shd w:val="clear" w:color="000000" w:fill="FF99CC"/>
            <w:noWrap/>
            <w:vAlign w:val="bottom"/>
            <w:hideMark/>
          </w:tcPr>
          <w:p w:rsidR="001B02D6" w:rsidRPr="001B02D6" w:rsidRDefault="001B02D6" w:rsidP="001B02D6">
            <w:pPr>
              <w:suppressAutoHyphens w:val="0"/>
              <w:jc w:val="center"/>
              <w:rPr>
                <w:b/>
                <w:bCs/>
                <w:sz w:val="22"/>
                <w:szCs w:val="22"/>
                <w:lang w:eastAsia="cs-CZ"/>
              </w:rPr>
            </w:pPr>
            <w:r w:rsidRPr="001B02D6">
              <w:rPr>
                <w:b/>
                <w:bCs/>
                <w:sz w:val="22"/>
                <w:szCs w:val="22"/>
                <w:lang w:eastAsia="cs-CZ"/>
              </w:rPr>
              <w:t>Požadavek</w:t>
            </w:r>
          </w:p>
        </w:tc>
        <w:tc>
          <w:tcPr>
            <w:tcW w:w="1397" w:type="dxa"/>
            <w:tcBorders>
              <w:top w:val="single" w:sz="4" w:space="0" w:color="auto"/>
              <w:left w:val="nil"/>
              <w:bottom w:val="single" w:sz="4" w:space="0" w:color="auto"/>
              <w:right w:val="single" w:sz="4" w:space="0" w:color="auto"/>
            </w:tcBorders>
            <w:shd w:val="clear" w:color="000000" w:fill="FF99CC"/>
            <w:noWrap/>
            <w:vAlign w:val="bottom"/>
            <w:hideMark/>
          </w:tcPr>
          <w:p w:rsidR="001B02D6" w:rsidRPr="001B02D6" w:rsidRDefault="001B02D6" w:rsidP="001B02D6">
            <w:pPr>
              <w:suppressAutoHyphens w:val="0"/>
              <w:jc w:val="center"/>
              <w:rPr>
                <w:b/>
                <w:bCs/>
                <w:sz w:val="22"/>
                <w:szCs w:val="22"/>
                <w:lang w:eastAsia="cs-CZ"/>
              </w:rPr>
            </w:pPr>
            <w:r w:rsidRPr="001B02D6">
              <w:rPr>
                <w:b/>
                <w:bCs/>
                <w:sz w:val="22"/>
                <w:szCs w:val="22"/>
                <w:lang w:eastAsia="cs-CZ"/>
              </w:rPr>
              <w:t>Dotace</w:t>
            </w:r>
          </w:p>
        </w:tc>
        <w:tc>
          <w:tcPr>
            <w:tcW w:w="2551" w:type="dxa"/>
            <w:tcBorders>
              <w:top w:val="single" w:sz="4" w:space="0" w:color="auto"/>
              <w:left w:val="nil"/>
              <w:bottom w:val="single" w:sz="4" w:space="0" w:color="auto"/>
              <w:right w:val="single" w:sz="4" w:space="0" w:color="auto"/>
            </w:tcBorders>
            <w:shd w:val="clear" w:color="000000" w:fill="FF99CC"/>
            <w:noWrap/>
            <w:vAlign w:val="bottom"/>
            <w:hideMark/>
          </w:tcPr>
          <w:p w:rsidR="001B02D6" w:rsidRPr="001B02D6" w:rsidRDefault="001B02D6" w:rsidP="001B02D6">
            <w:pPr>
              <w:suppressAutoHyphens w:val="0"/>
              <w:jc w:val="center"/>
              <w:rPr>
                <w:b/>
                <w:bCs/>
                <w:sz w:val="22"/>
                <w:szCs w:val="22"/>
                <w:lang w:eastAsia="cs-CZ"/>
              </w:rPr>
            </w:pPr>
            <w:r w:rsidRPr="001B02D6">
              <w:rPr>
                <w:b/>
                <w:bCs/>
                <w:sz w:val="22"/>
                <w:szCs w:val="22"/>
                <w:lang w:eastAsia="cs-CZ"/>
              </w:rPr>
              <w:t>Žadatel</w:t>
            </w:r>
          </w:p>
        </w:tc>
      </w:tr>
      <w:tr w:rsidR="001B02D6" w:rsidRPr="001B02D6" w:rsidTr="000F22B6">
        <w:trPr>
          <w:trHeight w:val="288"/>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1B02D6" w:rsidRPr="001B02D6" w:rsidRDefault="001B02D6" w:rsidP="001B02D6">
            <w:pPr>
              <w:suppressAutoHyphens w:val="0"/>
              <w:jc w:val="right"/>
              <w:rPr>
                <w:sz w:val="22"/>
                <w:szCs w:val="22"/>
                <w:lang w:eastAsia="cs-CZ"/>
              </w:rPr>
            </w:pPr>
            <w:r w:rsidRPr="001B02D6">
              <w:rPr>
                <w:sz w:val="22"/>
                <w:szCs w:val="22"/>
                <w:lang w:eastAsia="cs-CZ"/>
              </w:rPr>
              <w:t>1</w:t>
            </w:r>
          </w:p>
        </w:tc>
        <w:tc>
          <w:tcPr>
            <w:tcW w:w="1192" w:type="dxa"/>
            <w:tcBorders>
              <w:top w:val="nil"/>
              <w:left w:val="nil"/>
              <w:bottom w:val="single" w:sz="4" w:space="0" w:color="auto"/>
              <w:right w:val="single" w:sz="4" w:space="0" w:color="auto"/>
            </w:tcBorders>
            <w:shd w:val="clear" w:color="auto" w:fill="auto"/>
            <w:noWrap/>
            <w:vAlign w:val="bottom"/>
            <w:hideMark/>
          </w:tcPr>
          <w:p w:rsidR="001B02D6" w:rsidRPr="001B02D6" w:rsidRDefault="001B02D6" w:rsidP="001B02D6">
            <w:pPr>
              <w:suppressAutoHyphens w:val="0"/>
              <w:rPr>
                <w:sz w:val="22"/>
                <w:szCs w:val="22"/>
                <w:lang w:eastAsia="cs-CZ"/>
              </w:rPr>
            </w:pPr>
            <w:r w:rsidRPr="001B02D6">
              <w:rPr>
                <w:sz w:val="22"/>
                <w:szCs w:val="22"/>
                <w:lang w:eastAsia="cs-CZ"/>
              </w:rPr>
              <w:t>80680/2018</w:t>
            </w:r>
          </w:p>
        </w:tc>
        <w:tc>
          <w:tcPr>
            <w:tcW w:w="2760" w:type="dxa"/>
            <w:tcBorders>
              <w:top w:val="nil"/>
              <w:left w:val="nil"/>
              <w:bottom w:val="single" w:sz="4" w:space="0" w:color="auto"/>
              <w:right w:val="nil"/>
            </w:tcBorders>
            <w:shd w:val="clear" w:color="auto" w:fill="auto"/>
            <w:noWrap/>
            <w:vAlign w:val="bottom"/>
            <w:hideMark/>
          </w:tcPr>
          <w:p w:rsidR="001B02D6" w:rsidRPr="001B02D6" w:rsidRDefault="001B02D6" w:rsidP="001B02D6">
            <w:pPr>
              <w:suppressAutoHyphens w:val="0"/>
              <w:rPr>
                <w:sz w:val="22"/>
                <w:szCs w:val="22"/>
                <w:lang w:eastAsia="cs-CZ"/>
              </w:rPr>
            </w:pPr>
            <w:r w:rsidRPr="001B02D6">
              <w:rPr>
                <w:sz w:val="22"/>
                <w:szCs w:val="22"/>
                <w:lang w:eastAsia="cs-CZ"/>
              </w:rPr>
              <w:t>Zajištění provozu systému ZÍSKEJ</w:t>
            </w:r>
          </w:p>
        </w:tc>
        <w:tc>
          <w:tcPr>
            <w:tcW w:w="1155" w:type="dxa"/>
            <w:tcBorders>
              <w:top w:val="nil"/>
              <w:left w:val="single" w:sz="4" w:space="0" w:color="auto"/>
              <w:bottom w:val="single" w:sz="4" w:space="0" w:color="auto"/>
              <w:right w:val="single" w:sz="4" w:space="0" w:color="auto"/>
            </w:tcBorders>
            <w:shd w:val="clear" w:color="auto" w:fill="auto"/>
            <w:noWrap/>
            <w:vAlign w:val="bottom"/>
            <w:hideMark/>
          </w:tcPr>
          <w:p w:rsidR="001B02D6" w:rsidRPr="001B02D6" w:rsidRDefault="001B02D6" w:rsidP="001B02D6">
            <w:pPr>
              <w:suppressAutoHyphens w:val="0"/>
              <w:jc w:val="right"/>
              <w:rPr>
                <w:sz w:val="22"/>
                <w:szCs w:val="22"/>
                <w:lang w:eastAsia="cs-CZ"/>
              </w:rPr>
            </w:pPr>
            <w:r w:rsidRPr="001B02D6">
              <w:rPr>
                <w:sz w:val="22"/>
                <w:szCs w:val="22"/>
                <w:lang w:eastAsia="cs-CZ"/>
              </w:rPr>
              <w:t>2 438 000</w:t>
            </w:r>
          </w:p>
        </w:tc>
        <w:tc>
          <w:tcPr>
            <w:tcW w:w="1397" w:type="dxa"/>
            <w:tcBorders>
              <w:top w:val="nil"/>
              <w:left w:val="nil"/>
              <w:bottom w:val="single" w:sz="4" w:space="0" w:color="auto"/>
              <w:right w:val="single" w:sz="4" w:space="0" w:color="auto"/>
            </w:tcBorders>
            <w:shd w:val="clear" w:color="000000" w:fill="FFFFFF"/>
            <w:noWrap/>
            <w:vAlign w:val="bottom"/>
            <w:hideMark/>
          </w:tcPr>
          <w:p w:rsidR="001B02D6" w:rsidRPr="001B02D6" w:rsidRDefault="001B02D6" w:rsidP="001B02D6">
            <w:pPr>
              <w:suppressAutoHyphens w:val="0"/>
              <w:jc w:val="right"/>
              <w:rPr>
                <w:sz w:val="22"/>
                <w:szCs w:val="22"/>
                <w:lang w:eastAsia="cs-CZ"/>
              </w:rPr>
            </w:pPr>
            <w:r w:rsidRPr="001B02D6">
              <w:rPr>
                <w:sz w:val="22"/>
                <w:szCs w:val="22"/>
                <w:lang w:eastAsia="cs-CZ"/>
              </w:rPr>
              <w:t>2 066 000</w:t>
            </w:r>
          </w:p>
        </w:tc>
        <w:tc>
          <w:tcPr>
            <w:tcW w:w="2551" w:type="dxa"/>
            <w:tcBorders>
              <w:top w:val="nil"/>
              <w:left w:val="nil"/>
              <w:bottom w:val="single" w:sz="4" w:space="0" w:color="auto"/>
              <w:right w:val="single" w:sz="4" w:space="0" w:color="auto"/>
            </w:tcBorders>
            <w:shd w:val="clear" w:color="auto" w:fill="auto"/>
            <w:noWrap/>
            <w:vAlign w:val="bottom"/>
            <w:hideMark/>
          </w:tcPr>
          <w:p w:rsidR="001B02D6" w:rsidRPr="001B02D6" w:rsidRDefault="001B02D6" w:rsidP="001B02D6">
            <w:pPr>
              <w:suppressAutoHyphens w:val="0"/>
              <w:rPr>
                <w:sz w:val="22"/>
                <w:szCs w:val="22"/>
                <w:lang w:eastAsia="cs-CZ"/>
              </w:rPr>
            </w:pPr>
            <w:r w:rsidRPr="001B02D6">
              <w:rPr>
                <w:sz w:val="22"/>
                <w:szCs w:val="22"/>
                <w:lang w:eastAsia="cs-CZ"/>
              </w:rPr>
              <w:t>Národní technická knihovna</w:t>
            </w:r>
          </w:p>
        </w:tc>
      </w:tr>
      <w:tr w:rsidR="001B02D6" w:rsidRPr="001B02D6" w:rsidTr="000F22B6">
        <w:trPr>
          <w:trHeight w:val="30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1B02D6" w:rsidRPr="001B02D6" w:rsidRDefault="001B02D6" w:rsidP="001B02D6">
            <w:pPr>
              <w:suppressAutoHyphens w:val="0"/>
              <w:jc w:val="right"/>
              <w:rPr>
                <w:sz w:val="22"/>
                <w:szCs w:val="22"/>
                <w:lang w:eastAsia="cs-CZ"/>
              </w:rPr>
            </w:pPr>
            <w:r w:rsidRPr="001B02D6">
              <w:rPr>
                <w:sz w:val="22"/>
                <w:szCs w:val="22"/>
                <w:lang w:eastAsia="cs-CZ"/>
              </w:rPr>
              <w:t>2</w:t>
            </w:r>
          </w:p>
        </w:tc>
        <w:tc>
          <w:tcPr>
            <w:tcW w:w="1192" w:type="dxa"/>
            <w:tcBorders>
              <w:top w:val="nil"/>
              <w:left w:val="nil"/>
              <w:bottom w:val="single" w:sz="4" w:space="0" w:color="auto"/>
              <w:right w:val="single" w:sz="4" w:space="0" w:color="auto"/>
            </w:tcBorders>
            <w:shd w:val="clear" w:color="auto" w:fill="auto"/>
            <w:noWrap/>
            <w:vAlign w:val="bottom"/>
            <w:hideMark/>
          </w:tcPr>
          <w:p w:rsidR="001B02D6" w:rsidRPr="001B02D6" w:rsidRDefault="001B02D6" w:rsidP="001B02D6">
            <w:pPr>
              <w:suppressAutoHyphens w:val="0"/>
              <w:rPr>
                <w:sz w:val="22"/>
                <w:szCs w:val="22"/>
                <w:lang w:eastAsia="cs-CZ"/>
              </w:rPr>
            </w:pPr>
            <w:r w:rsidRPr="001B02D6">
              <w:rPr>
                <w:sz w:val="22"/>
                <w:szCs w:val="22"/>
                <w:lang w:eastAsia="cs-CZ"/>
              </w:rPr>
              <w:t>80561/2018</w:t>
            </w:r>
          </w:p>
        </w:tc>
        <w:tc>
          <w:tcPr>
            <w:tcW w:w="2760" w:type="dxa"/>
            <w:tcBorders>
              <w:top w:val="nil"/>
              <w:left w:val="nil"/>
              <w:bottom w:val="nil"/>
              <w:right w:val="nil"/>
            </w:tcBorders>
            <w:shd w:val="clear" w:color="auto" w:fill="auto"/>
            <w:noWrap/>
            <w:vAlign w:val="bottom"/>
            <w:hideMark/>
          </w:tcPr>
          <w:p w:rsidR="001B02D6" w:rsidRPr="001B02D6" w:rsidRDefault="001B02D6" w:rsidP="001B02D6">
            <w:pPr>
              <w:suppressAutoHyphens w:val="0"/>
              <w:rPr>
                <w:sz w:val="22"/>
                <w:szCs w:val="22"/>
                <w:lang w:eastAsia="cs-CZ"/>
              </w:rPr>
            </w:pPr>
            <w:r w:rsidRPr="001B02D6">
              <w:rPr>
                <w:sz w:val="22"/>
                <w:szCs w:val="22"/>
                <w:lang w:eastAsia="cs-CZ"/>
              </w:rPr>
              <w:t>Centrální portál Knihovny.cz: etapa 2019</w:t>
            </w:r>
          </w:p>
        </w:tc>
        <w:tc>
          <w:tcPr>
            <w:tcW w:w="1155" w:type="dxa"/>
            <w:tcBorders>
              <w:top w:val="nil"/>
              <w:left w:val="single" w:sz="4" w:space="0" w:color="auto"/>
              <w:bottom w:val="nil"/>
              <w:right w:val="single" w:sz="4" w:space="0" w:color="auto"/>
            </w:tcBorders>
            <w:shd w:val="clear" w:color="auto" w:fill="auto"/>
            <w:noWrap/>
            <w:vAlign w:val="bottom"/>
            <w:hideMark/>
          </w:tcPr>
          <w:p w:rsidR="001B02D6" w:rsidRPr="001B02D6" w:rsidRDefault="001B02D6" w:rsidP="001B02D6">
            <w:pPr>
              <w:suppressAutoHyphens w:val="0"/>
              <w:jc w:val="right"/>
              <w:rPr>
                <w:sz w:val="22"/>
                <w:szCs w:val="22"/>
                <w:lang w:eastAsia="cs-CZ"/>
              </w:rPr>
            </w:pPr>
            <w:r w:rsidRPr="001B02D6">
              <w:rPr>
                <w:sz w:val="22"/>
                <w:szCs w:val="22"/>
                <w:lang w:eastAsia="cs-CZ"/>
              </w:rPr>
              <w:t>1 119 000</w:t>
            </w:r>
          </w:p>
        </w:tc>
        <w:tc>
          <w:tcPr>
            <w:tcW w:w="1397" w:type="dxa"/>
            <w:tcBorders>
              <w:top w:val="nil"/>
              <w:left w:val="nil"/>
              <w:bottom w:val="nil"/>
              <w:right w:val="single" w:sz="4" w:space="0" w:color="auto"/>
            </w:tcBorders>
            <w:shd w:val="clear" w:color="auto" w:fill="auto"/>
            <w:noWrap/>
            <w:vAlign w:val="bottom"/>
            <w:hideMark/>
          </w:tcPr>
          <w:p w:rsidR="001B02D6" w:rsidRPr="001B02D6" w:rsidRDefault="001B02D6" w:rsidP="001B02D6">
            <w:pPr>
              <w:suppressAutoHyphens w:val="0"/>
              <w:jc w:val="right"/>
              <w:rPr>
                <w:sz w:val="22"/>
                <w:szCs w:val="22"/>
                <w:lang w:eastAsia="cs-CZ"/>
              </w:rPr>
            </w:pPr>
            <w:r w:rsidRPr="001B02D6">
              <w:rPr>
                <w:sz w:val="22"/>
                <w:szCs w:val="22"/>
                <w:lang w:eastAsia="cs-CZ"/>
              </w:rPr>
              <w:t>1 119 000</w:t>
            </w:r>
          </w:p>
        </w:tc>
        <w:tc>
          <w:tcPr>
            <w:tcW w:w="2551" w:type="dxa"/>
            <w:tcBorders>
              <w:top w:val="nil"/>
              <w:left w:val="nil"/>
              <w:bottom w:val="single" w:sz="4" w:space="0" w:color="auto"/>
              <w:right w:val="single" w:sz="4" w:space="0" w:color="auto"/>
            </w:tcBorders>
            <w:shd w:val="clear" w:color="auto" w:fill="auto"/>
            <w:noWrap/>
            <w:vAlign w:val="bottom"/>
            <w:hideMark/>
          </w:tcPr>
          <w:p w:rsidR="001B02D6" w:rsidRPr="001B02D6" w:rsidRDefault="001B02D6" w:rsidP="001B02D6">
            <w:pPr>
              <w:suppressAutoHyphens w:val="0"/>
              <w:rPr>
                <w:sz w:val="22"/>
                <w:szCs w:val="22"/>
                <w:lang w:eastAsia="cs-CZ"/>
              </w:rPr>
            </w:pPr>
            <w:r w:rsidRPr="001B02D6">
              <w:rPr>
                <w:sz w:val="22"/>
                <w:szCs w:val="22"/>
                <w:lang w:eastAsia="cs-CZ"/>
              </w:rPr>
              <w:t xml:space="preserve">Knihovna AV ČR, </w:t>
            </w:r>
            <w:proofErr w:type="gramStart"/>
            <w:r w:rsidRPr="001B02D6">
              <w:rPr>
                <w:sz w:val="22"/>
                <w:szCs w:val="22"/>
                <w:lang w:eastAsia="cs-CZ"/>
              </w:rPr>
              <w:t>v.v.</w:t>
            </w:r>
            <w:proofErr w:type="gramEnd"/>
            <w:r w:rsidRPr="001B02D6">
              <w:rPr>
                <w:sz w:val="22"/>
                <w:szCs w:val="22"/>
                <w:lang w:eastAsia="cs-CZ"/>
              </w:rPr>
              <w:t>i.</w:t>
            </w:r>
          </w:p>
        </w:tc>
      </w:tr>
      <w:tr w:rsidR="001B02D6" w:rsidRPr="001B02D6" w:rsidTr="000F22B6">
        <w:trPr>
          <w:trHeight w:val="300"/>
        </w:trPr>
        <w:tc>
          <w:tcPr>
            <w:tcW w:w="599" w:type="dxa"/>
            <w:tcBorders>
              <w:top w:val="nil"/>
              <w:left w:val="nil"/>
              <w:bottom w:val="nil"/>
              <w:right w:val="nil"/>
            </w:tcBorders>
            <w:shd w:val="clear" w:color="auto" w:fill="auto"/>
            <w:noWrap/>
            <w:vAlign w:val="bottom"/>
            <w:hideMark/>
          </w:tcPr>
          <w:p w:rsidR="001B02D6" w:rsidRPr="001B02D6" w:rsidRDefault="001B02D6" w:rsidP="001B02D6">
            <w:pPr>
              <w:suppressAutoHyphens w:val="0"/>
              <w:rPr>
                <w:sz w:val="22"/>
                <w:szCs w:val="22"/>
                <w:lang w:eastAsia="cs-CZ"/>
              </w:rPr>
            </w:pPr>
          </w:p>
        </w:tc>
        <w:tc>
          <w:tcPr>
            <w:tcW w:w="1192" w:type="dxa"/>
            <w:tcBorders>
              <w:top w:val="nil"/>
              <w:left w:val="nil"/>
              <w:bottom w:val="nil"/>
              <w:right w:val="nil"/>
            </w:tcBorders>
            <w:shd w:val="clear" w:color="auto" w:fill="auto"/>
            <w:noWrap/>
            <w:vAlign w:val="bottom"/>
            <w:hideMark/>
          </w:tcPr>
          <w:p w:rsidR="001B02D6" w:rsidRPr="001B02D6" w:rsidRDefault="001B02D6" w:rsidP="001B02D6">
            <w:pPr>
              <w:suppressAutoHyphens w:val="0"/>
              <w:rPr>
                <w:sz w:val="22"/>
                <w:szCs w:val="22"/>
                <w:lang w:eastAsia="cs-CZ"/>
              </w:rPr>
            </w:pPr>
          </w:p>
        </w:tc>
        <w:tc>
          <w:tcPr>
            <w:tcW w:w="2760" w:type="dxa"/>
            <w:tcBorders>
              <w:top w:val="single" w:sz="8" w:space="0" w:color="auto"/>
              <w:left w:val="single" w:sz="8" w:space="0" w:color="auto"/>
              <w:bottom w:val="single" w:sz="8" w:space="0" w:color="auto"/>
              <w:right w:val="nil"/>
            </w:tcBorders>
            <w:shd w:val="clear" w:color="auto" w:fill="auto"/>
            <w:noWrap/>
            <w:vAlign w:val="bottom"/>
            <w:hideMark/>
          </w:tcPr>
          <w:p w:rsidR="001B02D6" w:rsidRPr="001B02D6" w:rsidRDefault="001B02D6" w:rsidP="001B02D6">
            <w:pPr>
              <w:suppressAutoHyphens w:val="0"/>
              <w:rPr>
                <w:b/>
                <w:bCs/>
                <w:sz w:val="22"/>
                <w:szCs w:val="22"/>
                <w:lang w:eastAsia="cs-CZ"/>
              </w:rPr>
            </w:pPr>
            <w:r w:rsidRPr="001B02D6">
              <w:rPr>
                <w:b/>
                <w:bCs/>
                <w:sz w:val="22"/>
                <w:szCs w:val="22"/>
                <w:lang w:eastAsia="cs-CZ"/>
              </w:rPr>
              <w:t>CELKEM</w:t>
            </w:r>
          </w:p>
        </w:tc>
        <w:tc>
          <w:tcPr>
            <w:tcW w:w="1155"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B02D6" w:rsidRPr="001B02D6" w:rsidRDefault="001B02D6" w:rsidP="001B02D6">
            <w:pPr>
              <w:suppressAutoHyphens w:val="0"/>
              <w:jc w:val="right"/>
              <w:rPr>
                <w:b/>
                <w:bCs/>
                <w:sz w:val="22"/>
                <w:szCs w:val="22"/>
                <w:lang w:eastAsia="cs-CZ"/>
              </w:rPr>
            </w:pPr>
            <w:r w:rsidRPr="001B02D6">
              <w:rPr>
                <w:b/>
                <w:bCs/>
                <w:sz w:val="22"/>
                <w:szCs w:val="22"/>
                <w:lang w:eastAsia="cs-CZ"/>
              </w:rPr>
              <w:t>3 557 000</w:t>
            </w:r>
          </w:p>
        </w:tc>
        <w:tc>
          <w:tcPr>
            <w:tcW w:w="1397" w:type="dxa"/>
            <w:tcBorders>
              <w:top w:val="single" w:sz="8" w:space="0" w:color="auto"/>
              <w:left w:val="nil"/>
              <w:bottom w:val="single" w:sz="8" w:space="0" w:color="auto"/>
              <w:right w:val="single" w:sz="8" w:space="0" w:color="auto"/>
            </w:tcBorders>
            <w:shd w:val="clear" w:color="auto" w:fill="auto"/>
            <w:noWrap/>
            <w:vAlign w:val="bottom"/>
            <w:hideMark/>
          </w:tcPr>
          <w:p w:rsidR="001B02D6" w:rsidRPr="001B02D6" w:rsidRDefault="001B02D6" w:rsidP="001B02D6">
            <w:pPr>
              <w:suppressAutoHyphens w:val="0"/>
              <w:jc w:val="right"/>
              <w:rPr>
                <w:b/>
                <w:bCs/>
                <w:sz w:val="22"/>
                <w:szCs w:val="22"/>
                <w:lang w:eastAsia="cs-CZ"/>
              </w:rPr>
            </w:pPr>
            <w:r w:rsidRPr="001B02D6">
              <w:rPr>
                <w:b/>
                <w:bCs/>
                <w:sz w:val="22"/>
                <w:szCs w:val="22"/>
                <w:lang w:eastAsia="cs-CZ"/>
              </w:rPr>
              <w:t>3 185 000</w:t>
            </w:r>
          </w:p>
        </w:tc>
        <w:tc>
          <w:tcPr>
            <w:tcW w:w="2551" w:type="dxa"/>
            <w:tcBorders>
              <w:top w:val="nil"/>
              <w:left w:val="nil"/>
              <w:bottom w:val="nil"/>
              <w:right w:val="nil"/>
            </w:tcBorders>
            <w:shd w:val="clear" w:color="auto" w:fill="auto"/>
            <w:noWrap/>
            <w:vAlign w:val="bottom"/>
            <w:hideMark/>
          </w:tcPr>
          <w:p w:rsidR="001B02D6" w:rsidRPr="001B02D6" w:rsidRDefault="001B02D6" w:rsidP="001B02D6">
            <w:pPr>
              <w:suppressAutoHyphens w:val="0"/>
              <w:rPr>
                <w:sz w:val="22"/>
                <w:szCs w:val="22"/>
                <w:lang w:eastAsia="cs-CZ"/>
              </w:rPr>
            </w:pPr>
          </w:p>
        </w:tc>
      </w:tr>
    </w:tbl>
    <w:p w:rsidR="00EC6495" w:rsidRDefault="00EC6495">
      <w:pPr>
        <w:jc w:val="both"/>
        <w:rPr>
          <w:sz w:val="24"/>
        </w:rPr>
      </w:pPr>
    </w:p>
    <w:p w:rsidR="00F41C82" w:rsidRPr="007A4109" w:rsidRDefault="00F41C82" w:rsidP="00F41C82">
      <w:pPr>
        <w:jc w:val="both"/>
        <w:rPr>
          <w:bCs/>
          <w:i/>
          <w:sz w:val="24"/>
          <w:szCs w:val="24"/>
        </w:rPr>
      </w:pPr>
      <w:r w:rsidRPr="007A4109">
        <w:rPr>
          <w:bCs/>
          <w:i/>
          <w:sz w:val="24"/>
          <w:szCs w:val="24"/>
        </w:rPr>
        <w:lastRenderedPageBreak/>
        <w:t xml:space="preserve">Pozn.: Dopisem zástupce </w:t>
      </w:r>
      <w:r w:rsidR="007A4109" w:rsidRPr="007A4109">
        <w:rPr>
          <w:bCs/>
          <w:i/>
          <w:sz w:val="24"/>
          <w:szCs w:val="24"/>
        </w:rPr>
        <w:t>ředitelky KNAV</w:t>
      </w:r>
      <w:r w:rsidRPr="007A4109">
        <w:rPr>
          <w:bCs/>
          <w:i/>
          <w:sz w:val="24"/>
          <w:szCs w:val="24"/>
        </w:rPr>
        <w:t xml:space="preserve"> Ing. Martina Lhotáka ze dne 12. 2. 2019</w:t>
      </w:r>
      <w:r w:rsidR="007A4109" w:rsidRPr="007A4109">
        <w:rPr>
          <w:bCs/>
          <w:i/>
          <w:sz w:val="24"/>
          <w:szCs w:val="24"/>
        </w:rPr>
        <w:t xml:space="preserve"> požádala Knihovna AV ČR, </w:t>
      </w:r>
      <w:proofErr w:type="gramStart"/>
      <w:r w:rsidR="007A4109" w:rsidRPr="007A4109">
        <w:rPr>
          <w:bCs/>
          <w:i/>
          <w:sz w:val="24"/>
          <w:szCs w:val="24"/>
        </w:rPr>
        <w:t>v.v.</w:t>
      </w:r>
      <w:proofErr w:type="gramEnd"/>
      <w:r w:rsidR="007A4109" w:rsidRPr="007A4109">
        <w:rPr>
          <w:bCs/>
          <w:i/>
          <w:sz w:val="24"/>
          <w:szCs w:val="24"/>
        </w:rPr>
        <w:t xml:space="preserve">i. Ministerstvo kultury </w:t>
      </w:r>
      <w:r w:rsidRPr="007A4109">
        <w:rPr>
          <w:bCs/>
          <w:i/>
          <w:sz w:val="24"/>
          <w:szCs w:val="24"/>
        </w:rPr>
        <w:t>o udělení výjimky z čl. II. odst. 4) příkazu ministra kultury č. 25/2010</w:t>
      </w:r>
      <w:r w:rsidR="007A4109" w:rsidRPr="007A4109">
        <w:rPr>
          <w:bCs/>
          <w:i/>
          <w:sz w:val="24"/>
          <w:szCs w:val="24"/>
        </w:rPr>
        <w:t xml:space="preserve"> k projektu „Centrální portál Knihovny.cz: etapa 2019“</w:t>
      </w:r>
      <w:r w:rsidR="006F4830">
        <w:rPr>
          <w:bCs/>
          <w:i/>
          <w:sz w:val="24"/>
          <w:szCs w:val="24"/>
        </w:rPr>
        <w:t>,</w:t>
      </w:r>
      <w:r w:rsidR="007A4109" w:rsidRPr="007A4109">
        <w:rPr>
          <w:bCs/>
          <w:i/>
          <w:sz w:val="24"/>
          <w:szCs w:val="24"/>
        </w:rPr>
        <w:t xml:space="preserve"> podanému do dotačního řízení podprogramu VISK 8/B na rok 2019</w:t>
      </w:r>
      <w:r w:rsidR="006F4830">
        <w:rPr>
          <w:bCs/>
          <w:i/>
          <w:sz w:val="24"/>
          <w:szCs w:val="24"/>
        </w:rPr>
        <w:t>,</w:t>
      </w:r>
      <w:r w:rsidR="007A4109" w:rsidRPr="007A4109">
        <w:rPr>
          <w:bCs/>
          <w:i/>
          <w:sz w:val="24"/>
          <w:szCs w:val="24"/>
        </w:rPr>
        <w:t xml:space="preserve"> a</w:t>
      </w:r>
      <w:r w:rsidR="006F4830">
        <w:rPr>
          <w:bCs/>
          <w:i/>
          <w:sz w:val="24"/>
          <w:szCs w:val="24"/>
        </w:rPr>
        <w:t xml:space="preserve"> o</w:t>
      </w:r>
      <w:r w:rsidR="007A4109" w:rsidRPr="007A4109">
        <w:rPr>
          <w:bCs/>
          <w:i/>
          <w:sz w:val="24"/>
          <w:szCs w:val="24"/>
        </w:rPr>
        <w:t xml:space="preserve"> poskytnutí dotace ve výši 100 % celkových nákladů projektu (viz bod 4 zápisu).</w:t>
      </w:r>
    </w:p>
    <w:p w:rsidR="00F41C82" w:rsidRDefault="00F41C82">
      <w:pPr>
        <w:jc w:val="both"/>
        <w:rPr>
          <w:sz w:val="24"/>
        </w:rPr>
      </w:pPr>
    </w:p>
    <w:p w:rsidR="007A4109" w:rsidRPr="007A4109" w:rsidRDefault="007A4109">
      <w:pPr>
        <w:jc w:val="both"/>
        <w:rPr>
          <w:sz w:val="24"/>
        </w:rPr>
      </w:pPr>
    </w:p>
    <w:p w:rsidR="00F41C82" w:rsidRDefault="00F41C82">
      <w:pPr>
        <w:jc w:val="both"/>
        <w:rPr>
          <w:sz w:val="24"/>
        </w:rPr>
      </w:pPr>
    </w:p>
    <w:p w:rsidR="000C23AE" w:rsidRDefault="007B7946">
      <w:pPr>
        <w:jc w:val="both"/>
        <w:rPr>
          <w:bCs/>
          <w:sz w:val="24"/>
        </w:rPr>
      </w:pPr>
      <w:r>
        <w:rPr>
          <w:bCs/>
          <w:sz w:val="24"/>
        </w:rPr>
        <w:t>Zapsala: Mgr. Petra Miturová,</w:t>
      </w:r>
    </w:p>
    <w:p w:rsidR="000C23AE" w:rsidRDefault="007B7946">
      <w:pPr>
        <w:jc w:val="both"/>
        <w:rPr>
          <w:bCs/>
          <w:sz w:val="24"/>
        </w:rPr>
      </w:pPr>
      <w:r>
        <w:rPr>
          <w:bCs/>
          <w:sz w:val="24"/>
        </w:rPr>
        <w:tab/>
        <w:t xml:space="preserve">   tajemnice</w:t>
      </w:r>
    </w:p>
    <w:p w:rsidR="000C23AE" w:rsidRDefault="001B02D6">
      <w:pPr>
        <w:ind w:left="708"/>
        <w:jc w:val="both"/>
        <w:rPr>
          <w:bCs/>
          <w:sz w:val="24"/>
        </w:rPr>
      </w:pPr>
      <w:r>
        <w:rPr>
          <w:bCs/>
          <w:sz w:val="24"/>
        </w:rPr>
        <w:t xml:space="preserve">   5. 2. 2019</w:t>
      </w:r>
    </w:p>
    <w:p w:rsidR="000C23AE" w:rsidRDefault="000C23AE">
      <w:pPr>
        <w:jc w:val="both"/>
        <w:rPr>
          <w:bCs/>
          <w:sz w:val="24"/>
        </w:rPr>
      </w:pPr>
    </w:p>
    <w:p w:rsidR="003920F7" w:rsidRDefault="003920F7">
      <w:pPr>
        <w:jc w:val="both"/>
        <w:rPr>
          <w:bCs/>
          <w:sz w:val="24"/>
        </w:rPr>
      </w:pPr>
    </w:p>
    <w:p w:rsidR="000C23AE" w:rsidRDefault="001B02D6">
      <w:pPr>
        <w:jc w:val="both"/>
        <w:rPr>
          <w:bCs/>
          <w:sz w:val="24"/>
        </w:rPr>
      </w:pPr>
      <w:r>
        <w:rPr>
          <w:bCs/>
          <w:sz w:val="24"/>
        </w:rPr>
        <w:t>Schválil: Ing. Jiří Pavlík</w:t>
      </w:r>
      <w:r w:rsidR="007B7946">
        <w:rPr>
          <w:bCs/>
          <w:sz w:val="24"/>
        </w:rPr>
        <w:t>,</w:t>
      </w:r>
    </w:p>
    <w:p w:rsidR="000C23AE" w:rsidRDefault="007B7946">
      <w:pPr>
        <w:jc w:val="both"/>
        <w:rPr>
          <w:bCs/>
          <w:sz w:val="24"/>
        </w:rPr>
      </w:pPr>
      <w:r>
        <w:rPr>
          <w:bCs/>
          <w:sz w:val="24"/>
        </w:rPr>
        <w:tab/>
        <w:t xml:space="preserve">    předseda komise</w:t>
      </w:r>
    </w:p>
    <w:p w:rsidR="00BA47E9" w:rsidRDefault="00BA47E9">
      <w:pPr>
        <w:jc w:val="both"/>
        <w:rPr>
          <w:bCs/>
          <w:sz w:val="24"/>
        </w:rPr>
      </w:pPr>
    </w:p>
    <w:p w:rsidR="00BA47E9" w:rsidRDefault="00BA47E9">
      <w:pPr>
        <w:jc w:val="both"/>
        <w:rPr>
          <w:bCs/>
          <w:sz w:val="24"/>
        </w:rPr>
      </w:pPr>
    </w:p>
    <w:p w:rsidR="00BA47E9" w:rsidRDefault="00BA47E9">
      <w:pPr>
        <w:jc w:val="both"/>
        <w:rPr>
          <w:bCs/>
          <w:sz w:val="24"/>
        </w:rPr>
      </w:pPr>
    </w:p>
    <w:p w:rsidR="00BA47E9" w:rsidRDefault="00BA47E9">
      <w:pPr>
        <w:jc w:val="both"/>
      </w:pPr>
    </w:p>
    <w:sectPr w:rsidR="00BA47E9" w:rsidSect="0063093A">
      <w:pgSz w:w="11906" w:h="16838"/>
      <w:pgMar w:top="1135" w:right="1416" w:bottom="1276" w:left="1418" w:header="708" w:footer="708"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2"/>
    <w:lvl w:ilvl="0">
      <w:start w:val="1"/>
      <w:numFmt w:val="decimal"/>
      <w:lvlText w:val="%1*"/>
      <w:lvlJc w:val="left"/>
      <w:pPr>
        <w:tabs>
          <w:tab w:val="num" w:pos="0"/>
        </w:tabs>
        <w:ind w:left="720" w:hanging="360"/>
      </w:pPr>
      <w:rPr>
        <w:bCs/>
        <w:i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79138CE"/>
    <w:multiLevelType w:val="hybridMultilevel"/>
    <w:tmpl w:val="0B3663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FD33AE0"/>
    <w:multiLevelType w:val="hybridMultilevel"/>
    <w:tmpl w:val="F99C62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6"/>
  </w:num>
  <w:num w:numId="6">
    <w:abstractNumId w:val="5"/>
  </w:num>
  <w:num w:numId="7">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946"/>
    <w:rsid w:val="00000D20"/>
    <w:rsid w:val="0002471E"/>
    <w:rsid w:val="000606DF"/>
    <w:rsid w:val="00065336"/>
    <w:rsid w:val="000C0E96"/>
    <w:rsid w:val="000C23AE"/>
    <w:rsid w:val="000C300B"/>
    <w:rsid w:val="000D08B8"/>
    <w:rsid w:val="000E62AD"/>
    <w:rsid w:val="000F22B6"/>
    <w:rsid w:val="00103F11"/>
    <w:rsid w:val="00111B5B"/>
    <w:rsid w:val="001163C5"/>
    <w:rsid w:val="00125B36"/>
    <w:rsid w:val="00136694"/>
    <w:rsid w:val="0017654D"/>
    <w:rsid w:val="001946AF"/>
    <w:rsid w:val="001A1BC6"/>
    <w:rsid w:val="001B02D6"/>
    <w:rsid w:val="001F4CB4"/>
    <w:rsid w:val="002256E4"/>
    <w:rsid w:val="002A0D59"/>
    <w:rsid w:val="002C3B6B"/>
    <w:rsid w:val="002C6737"/>
    <w:rsid w:val="003920F7"/>
    <w:rsid w:val="003D1418"/>
    <w:rsid w:val="003E2BF4"/>
    <w:rsid w:val="003E4E57"/>
    <w:rsid w:val="00407D1E"/>
    <w:rsid w:val="00413A45"/>
    <w:rsid w:val="004A13C3"/>
    <w:rsid w:val="00502DB0"/>
    <w:rsid w:val="0057091E"/>
    <w:rsid w:val="00577EFC"/>
    <w:rsid w:val="005C552F"/>
    <w:rsid w:val="005E47CB"/>
    <w:rsid w:val="005E488F"/>
    <w:rsid w:val="005F5A57"/>
    <w:rsid w:val="00617313"/>
    <w:rsid w:val="0063093A"/>
    <w:rsid w:val="00647495"/>
    <w:rsid w:val="0065069C"/>
    <w:rsid w:val="00697C9B"/>
    <w:rsid w:val="006D4232"/>
    <w:rsid w:val="006F4830"/>
    <w:rsid w:val="00744D8C"/>
    <w:rsid w:val="007902A8"/>
    <w:rsid w:val="007A2015"/>
    <w:rsid w:val="007A4109"/>
    <w:rsid w:val="007A4165"/>
    <w:rsid w:val="007B343F"/>
    <w:rsid w:val="007B7946"/>
    <w:rsid w:val="007D318C"/>
    <w:rsid w:val="007E0A38"/>
    <w:rsid w:val="007F002B"/>
    <w:rsid w:val="00823AAC"/>
    <w:rsid w:val="00845919"/>
    <w:rsid w:val="00860BEA"/>
    <w:rsid w:val="0086705F"/>
    <w:rsid w:val="00873644"/>
    <w:rsid w:val="0089449F"/>
    <w:rsid w:val="00951F4F"/>
    <w:rsid w:val="00955F22"/>
    <w:rsid w:val="00970E00"/>
    <w:rsid w:val="00992919"/>
    <w:rsid w:val="009A3E09"/>
    <w:rsid w:val="009C1659"/>
    <w:rsid w:val="009C1DD3"/>
    <w:rsid w:val="009D2EDE"/>
    <w:rsid w:val="00A7684B"/>
    <w:rsid w:val="00A9702F"/>
    <w:rsid w:val="00AA3CA8"/>
    <w:rsid w:val="00AC0146"/>
    <w:rsid w:val="00AE6C93"/>
    <w:rsid w:val="00B003FD"/>
    <w:rsid w:val="00B13AE6"/>
    <w:rsid w:val="00B16AF5"/>
    <w:rsid w:val="00B16B1A"/>
    <w:rsid w:val="00B216CA"/>
    <w:rsid w:val="00B238D2"/>
    <w:rsid w:val="00B575E5"/>
    <w:rsid w:val="00B97398"/>
    <w:rsid w:val="00BA47E9"/>
    <w:rsid w:val="00BF3E14"/>
    <w:rsid w:val="00C00583"/>
    <w:rsid w:val="00CC3C42"/>
    <w:rsid w:val="00CE51DE"/>
    <w:rsid w:val="00CF4A6D"/>
    <w:rsid w:val="00D059C0"/>
    <w:rsid w:val="00D231D1"/>
    <w:rsid w:val="00D409D8"/>
    <w:rsid w:val="00D411F5"/>
    <w:rsid w:val="00DB5CC3"/>
    <w:rsid w:val="00DC1FA8"/>
    <w:rsid w:val="00DD2E93"/>
    <w:rsid w:val="00E847F0"/>
    <w:rsid w:val="00EA7649"/>
    <w:rsid w:val="00EC6495"/>
    <w:rsid w:val="00EE590F"/>
    <w:rsid w:val="00EF226E"/>
    <w:rsid w:val="00F41C82"/>
    <w:rsid w:val="00FE0D0A"/>
    <w:rsid w:val="00FE1A0B"/>
    <w:rsid w:val="00FF1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ar-SA"/>
    </w:rPr>
  </w:style>
  <w:style w:type="paragraph" w:styleId="Nadpis1">
    <w:name w:val="heading 1"/>
    <w:basedOn w:val="Normln"/>
    <w:next w:val="Zkladntext"/>
    <w:qFormat/>
    <w:pPr>
      <w:keepNext/>
      <w:numPr>
        <w:numId w:val="1"/>
      </w:numPr>
      <w:jc w:val="both"/>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Cs/>
      <w:iCs/>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Sledovanodkaz1">
    <w:name w:val="Sledovaný odkaz1"/>
    <w:rPr>
      <w:color w:val="800080"/>
      <w:u w:val="single"/>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ProsttextChar">
    <w:name w:val="Prostý text Char"/>
    <w:basedOn w:val="Standardnpsmoodstavce1"/>
    <w:rPr>
      <w:rFonts w:ascii="Calibri" w:hAnsi="Calibri" w:cs="Calibri"/>
      <w:sz w:val="22"/>
      <w:szCs w:val="21"/>
    </w:rPr>
  </w:style>
  <w:style w:type="character" w:customStyle="1" w:styleId="ListLabel1">
    <w:name w:val="ListLabel 1"/>
    <w:rPr>
      <w:b/>
      <w:i w:val="0"/>
      <w:sz w:val="24"/>
    </w:rPr>
  </w:style>
  <w:style w:type="character" w:customStyle="1" w:styleId="ListLabel2">
    <w:name w:val="ListLabel 2"/>
    <w:rPr>
      <w:b/>
    </w:rPr>
  </w:style>
  <w:style w:type="character" w:customStyle="1" w:styleId="ListLabel3">
    <w:name w:val="ListLabel 3"/>
    <w:rPr>
      <w:rFonts w:cs="Times New Roman"/>
    </w:rPr>
  </w:style>
  <w:style w:type="character" w:customStyle="1" w:styleId="ListLabel4">
    <w:name w:val="ListLabel 4"/>
    <w:rPr>
      <w:rFonts w:cs="Courier New"/>
    </w:rPr>
  </w:style>
  <w:style w:type="character" w:customStyle="1" w:styleId="ListLabel5">
    <w:name w:val="ListLabel 5"/>
    <w:rPr>
      <w:rFonts w:eastAsia="Times New Roman" w:cs="Times New Roman"/>
    </w:rPr>
  </w:style>
  <w:style w:type="character" w:customStyle="1" w:styleId="ListLabel6">
    <w:name w:val="ListLabel 6"/>
    <w:rPr>
      <w:sz w:val="20"/>
    </w:rPr>
  </w:style>
  <w:style w:type="paragraph" w:customStyle="1" w:styleId="Nadpis">
    <w:name w:val="Nadpis"/>
    <w:basedOn w:val="Normln"/>
    <w:next w:val="Zkladntext"/>
    <w:pPr>
      <w:keepNext/>
      <w:spacing w:before="240" w:after="120"/>
    </w:pPr>
    <w:rPr>
      <w:rFonts w:ascii="Arial" w:eastAsia="Arial Unicode MS" w:hAnsi="Arial" w:cs="Arial Unicode MS"/>
      <w:sz w:val="28"/>
      <w:szCs w:val="28"/>
    </w:rPr>
  </w:style>
  <w:style w:type="paragraph" w:styleId="Zkladntext">
    <w:name w:val="Body Text"/>
    <w:basedOn w:val="Normln"/>
    <w:pPr>
      <w:jc w:val="both"/>
    </w:pPr>
    <w:rPr>
      <w:sz w:val="24"/>
    </w:rPr>
  </w:style>
  <w:style w:type="paragraph" w:styleId="Seznam">
    <w:name w:val="List"/>
    <w:basedOn w:val="Zkladntext"/>
  </w:style>
  <w:style w:type="paragraph" w:customStyle="1" w:styleId="Popisek">
    <w:name w:val="Popisek"/>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Rozloendokumentu1">
    <w:name w:val="Rozložení dokumentu1"/>
    <w:basedOn w:val="Normln"/>
    <w:pPr>
      <w:shd w:val="clear" w:color="auto" w:fill="000080"/>
    </w:pPr>
    <w:rPr>
      <w:rFonts w:ascii="Tahoma" w:hAnsi="Tahoma" w:cs="Tahoma"/>
    </w:rPr>
  </w:style>
  <w:style w:type="paragraph" w:styleId="Nzev">
    <w:name w:val="Title"/>
    <w:basedOn w:val="Normln"/>
    <w:next w:val="Podtitul"/>
    <w:qFormat/>
    <w:pPr>
      <w:jc w:val="center"/>
    </w:pPr>
    <w:rPr>
      <w:b/>
      <w:bCs/>
      <w:sz w:val="32"/>
      <w:szCs w:val="36"/>
    </w:rPr>
  </w:style>
  <w:style w:type="paragraph" w:styleId="Podtitul">
    <w:name w:val="Subtitle"/>
    <w:basedOn w:val="Nadpis"/>
    <w:next w:val="Zkladntext"/>
    <w:qFormat/>
    <w:pPr>
      <w:jc w:val="center"/>
    </w:pPr>
    <w:rPr>
      <w:i/>
      <w:iCs/>
    </w:rPr>
  </w:style>
  <w:style w:type="paragraph" w:styleId="Zkladntextodsazen">
    <w:name w:val="Body Text Indent"/>
    <w:basedOn w:val="Normln"/>
    <w:pPr>
      <w:ind w:left="283"/>
      <w:jc w:val="both"/>
    </w:pPr>
    <w:rPr>
      <w:b/>
      <w:bCs/>
      <w:sz w:val="22"/>
      <w:szCs w:val="22"/>
    </w:rPr>
  </w:style>
  <w:style w:type="paragraph" w:customStyle="1" w:styleId="Zkladntextodsazen21">
    <w:name w:val="Základní text odsazený 21"/>
    <w:basedOn w:val="Normln"/>
    <w:pPr>
      <w:ind w:firstLine="708"/>
      <w:jc w:val="both"/>
    </w:pPr>
    <w:rPr>
      <w:sz w:val="24"/>
    </w:rPr>
  </w:style>
  <w:style w:type="paragraph" w:customStyle="1" w:styleId="Textbubliny1">
    <w:name w:val="Text bubliny1"/>
    <w:basedOn w:val="Normln"/>
    <w:rPr>
      <w:rFonts w:ascii="Tahoma" w:hAnsi="Tahoma" w:cs="Tahoma"/>
      <w:sz w:val="16"/>
      <w:szCs w:val="16"/>
    </w:rPr>
  </w:style>
  <w:style w:type="paragraph" w:customStyle="1" w:styleId="Normlnweb1">
    <w:name w:val="Normální (web)1"/>
    <w:basedOn w:val="Normln"/>
    <w:pPr>
      <w:spacing w:before="100" w:after="100"/>
    </w:pPr>
    <w:rPr>
      <w:sz w:val="24"/>
      <w:szCs w:val="24"/>
    </w:rPr>
  </w:style>
  <w:style w:type="paragraph" w:customStyle="1" w:styleId="Textkomente1">
    <w:name w:val="Text komentáře1"/>
    <w:basedOn w:val="Normln"/>
  </w:style>
  <w:style w:type="paragraph" w:customStyle="1" w:styleId="Pedmtkomente1">
    <w:name w:val="Předmět komentáře1"/>
    <w:basedOn w:val="Textkomente1"/>
    <w:rPr>
      <w:b/>
      <w:bCs/>
    </w:rPr>
  </w:style>
  <w:style w:type="paragraph" w:customStyle="1" w:styleId="Bezmezer1">
    <w:name w:val="Bez mezer1"/>
    <w:pPr>
      <w:suppressAutoHyphens/>
    </w:pPr>
    <w:rPr>
      <w:sz w:val="22"/>
      <w:szCs w:val="22"/>
      <w:lang w:eastAsia="ar-SA"/>
    </w:rPr>
  </w:style>
  <w:style w:type="paragraph" w:customStyle="1" w:styleId="Prosttext1">
    <w:name w:val="Prostý text1"/>
    <w:basedOn w:val="Normln"/>
    <w:rPr>
      <w:rFonts w:ascii="Calibri" w:hAnsi="Calibri" w:cs="Calibri"/>
      <w:sz w:val="22"/>
      <w:szCs w:val="21"/>
    </w:rPr>
  </w:style>
  <w:style w:type="paragraph" w:styleId="Odstavecseseznamem">
    <w:name w:val="List Paragraph"/>
    <w:basedOn w:val="Normln"/>
    <w:uiPriority w:val="34"/>
    <w:qFormat/>
    <w:rsid w:val="006D4232"/>
    <w:pPr>
      <w:ind w:left="720"/>
      <w:contextualSpacing/>
    </w:pPr>
  </w:style>
  <w:style w:type="paragraph" w:styleId="Textbubliny">
    <w:name w:val="Balloon Text"/>
    <w:basedOn w:val="Normln"/>
    <w:link w:val="TextbublinyChar"/>
    <w:uiPriority w:val="99"/>
    <w:semiHidden/>
    <w:unhideWhenUsed/>
    <w:rsid w:val="00B16AF5"/>
    <w:rPr>
      <w:rFonts w:ascii="Tahoma" w:hAnsi="Tahoma" w:cs="Tahoma"/>
      <w:sz w:val="16"/>
      <w:szCs w:val="16"/>
    </w:rPr>
  </w:style>
  <w:style w:type="character" w:customStyle="1" w:styleId="TextbublinyChar">
    <w:name w:val="Text bubliny Char"/>
    <w:basedOn w:val="Standardnpsmoodstavce"/>
    <w:link w:val="Textbubliny"/>
    <w:uiPriority w:val="99"/>
    <w:semiHidden/>
    <w:rsid w:val="00B16AF5"/>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ar-SA"/>
    </w:rPr>
  </w:style>
  <w:style w:type="paragraph" w:styleId="Nadpis1">
    <w:name w:val="heading 1"/>
    <w:basedOn w:val="Normln"/>
    <w:next w:val="Zkladntext"/>
    <w:qFormat/>
    <w:pPr>
      <w:keepNext/>
      <w:numPr>
        <w:numId w:val="1"/>
      </w:numPr>
      <w:jc w:val="both"/>
      <w:outlineLvl w:val="0"/>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Cs/>
      <w:iCs/>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Sledovanodkaz1">
    <w:name w:val="Sledovaný odkaz1"/>
    <w:rPr>
      <w:color w:val="800080"/>
      <w:u w:val="single"/>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ProsttextChar">
    <w:name w:val="Prostý text Char"/>
    <w:basedOn w:val="Standardnpsmoodstavce1"/>
    <w:rPr>
      <w:rFonts w:ascii="Calibri" w:hAnsi="Calibri" w:cs="Calibri"/>
      <w:sz w:val="22"/>
      <w:szCs w:val="21"/>
    </w:rPr>
  </w:style>
  <w:style w:type="character" w:customStyle="1" w:styleId="ListLabel1">
    <w:name w:val="ListLabel 1"/>
    <w:rPr>
      <w:b/>
      <w:i w:val="0"/>
      <w:sz w:val="24"/>
    </w:rPr>
  </w:style>
  <w:style w:type="character" w:customStyle="1" w:styleId="ListLabel2">
    <w:name w:val="ListLabel 2"/>
    <w:rPr>
      <w:b/>
    </w:rPr>
  </w:style>
  <w:style w:type="character" w:customStyle="1" w:styleId="ListLabel3">
    <w:name w:val="ListLabel 3"/>
    <w:rPr>
      <w:rFonts w:cs="Times New Roman"/>
    </w:rPr>
  </w:style>
  <w:style w:type="character" w:customStyle="1" w:styleId="ListLabel4">
    <w:name w:val="ListLabel 4"/>
    <w:rPr>
      <w:rFonts w:cs="Courier New"/>
    </w:rPr>
  </w:style>
  <w:style w:type="character" w:customStyle="1" w:styleId="ListLabel5">
    <w:name w:val="ListLabel 5"/>
    <w:rPr>
      <w:rFonts w:eastAsia="Times New Roman" w:cs="Times New Roman"/>
    </w:rPr>
  </w:style>
  <w:style w:type="character" w:customStyle="1" w:styleId="ListLabel6">
    <w:name w:val="ListLabel 6"/>
    <w:rPr>
      <w:sz w:val="20"/>
    </w:rPr>
  </w:style>
  <w:style w:type="paragraph" w:customStyle="1" w:styleId="Nadpis">
    <w:name w:val="Nadpis"/>
    <w:basedOn w:val="Normln"/>
    <w:next w:val="Zkladntext"/>
    <w:pPr>
      <w:keepNext/>
      <w:spacing w:before="240" w:after="120"/>
    </w:pPr>
    <w:rPr>
      <w:rFonts w:ascii="Arial" w:eastAsia="Arial Unicode MS" w:hAnsi="Arial" w:cs="Arial Unicode MS"/>
      <w:sz w:val="28"/>
      <w:szCs w:val="28"/>
    </w:rPr>
  </w:style>
  <w:style w:type="paragraph" w:styleId="Zkladntext">
    <w:name w:val="Body Text"/>
    <w:basedOn w:val="Normln"/>
    <w:pPr>
      <w:jc w:val="both"/>
    </w:pPr>
    <w:rPr>
      <w:sz w:val="24"/>
    </w:rPr>
  </w:style>
  <w:style w:type="paragraph" w:styleId="Seznam">
    <w:name w:val="List"/>
    <w:basedOn w:val="Zkladntext"/>
  </w:style>
  <w:style w:type="paragraph" w:customStyle="1" w:styleId="Popisek">
    <w:name w:val="Popisek"/>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Rozloendokumentu1">
    <w:name w:val="Rozložení dokumentu1"/>
    <w:basedOn w:val="Normln"/>
    <w:pPr>
      <w:shd w:val="clear" w:color="auto" w:fill="000080"/>
    </w:pPr>
    <w:rPr>
      <w:rFonts w:ascii="Tahoma" w:hAnsi="Tahoma" w:cs="Tahoma"/>
    </w:rPr>
  </w:style>
  <w:style w:type="paragraph" w:styleId="Nzev">
    <w:name w:val="Title"/>
    <w:basedOn w:val="Normln"/>
    <w:next w:val="Podtitul"/>
    <w:qFormat/>
    <w:pPr>
      <w:jc w:val="center"/>
    </w:pPr>
    <w:rPr>
      <w:b/>
      <w:bCs/>
      <w:sz w:val="32"/>
      <w:szCs w:val="36"/>
    </w:rPr>
  </w:style>
  <w:style w:type="paragraph" w:styleId="Podtitul">
    <w:name w:val="Subtitle"/>
    <w:basedOn w:val="Nadpis"/>
    <w:next w:val="Zkladntext"/>
    <w:qFormat/>
    <w:pPr>
      <w:jc w:val="center"/>
    </w:pPr>
    <w:rPr>
      <w:i/>
      <w:iCs/>
    </w:rPr>
  </w:style>
  <w:style w:type="paragraph" w:styleId="Zkladntextodsazen">
    <w:name w:val="Body Text Indent"/>
    <w:basedOn w:val="Normln"/>
    <w:pPr>
      <w:ind w:left="283"/>
      <w:jc w:val="both"/>
    </w:pPr>
    <w:rPr>
      <w:b/>
      <w:bCs/>
      <w:sz w:val="22"/>
      <w:szCs w:val="22"/>
    </w:rPr>
  </w:style>
  <w:style w:type="paragraph" w:customStyle="1" w:styleId="Zkladntextodsazen21">
    <w:name w:val="Základní text odsazený 21"/>
    <w:basedOn w:val="Normln"/>
    <w:pPr>
      <w:ind w:firstLine="708"/>
      <w:jc w:val="both"/>
    </w:pPr>
    <w:rPr>
      <w:sz w:val="24"/>
    </w:rPr>
  </w:style>
  <w:style w:type="paragraph" w:customStyle="1" w:styleId="Textbubliny1">
    <w:name w:val="Text bubliny1"/>
    <w:basedOn w:val="Normln"/>
    <w:rPr>
      <w:rFonts w:ascii="Tahoma" w:hAnsi="Tahoma" w:cs="Tahoma"/>
      <w:sz w:val="16"/>
      <w:szCs w:val="16"/>
    </w:rPr>
  </w:style>
  <w:style w:type="paragraph" w:customStyle="1" w:styleId="Normlnweb1">
    <w:name w:val="Normální (web)1"/>
    <w:basedOn w:val="Normln"/>
    <w:pPr>
      <w:spacing w:before="100" w:after="100"/>
    </w:pPr>
    <w:rPr>
      <w:sz w:val="24"/>
      <w:szCs w:val="24"/>
    </w:rPr>
  </w:style>
  <w:style w:type="paragraph" w:customStyle="1" w:styleId="Textkomente1">
    <w:name w:val="Text komentáře1"/>
    <w:basedOn w:val="Normln"/>
  </w:style>
  <w:style w:type="paragraph" w:customStyle="1" w:styleId="Pedmtkomente1">
    <w:name w:val="Předmět komentáře1"/>
    <w:basedOn w:val="Textkomente1"/>
    <w:rPr>
      <w:b/>
      <w:bCs/>
    </w:rPr>
  </w:style>
  <w:style w:type="paragraph" w:customStyle="1" w:styleId="Bezmezer1">
    <w:name w:val="Bez mezer1"/>
    <w:pPr>
      <w:suppressAutoHyphens/>
    </w:pPr>
    <w:rPr>
      <w:sz w:val="22"/>
      <w:szCs w:val="22"/>
      <w:lang w:eastAsia="ar-SA"/>
    </w:rPr>
  </w:style>
  <w:style w:type="paragraph" w:customStyle="1" w:styleId="Prosttext1">
    <w:name w:val="Prostý text1"/>
    <w:basedOn w:val="Normln"/>
    <w:rPr>
      <w:rFonts w:ascii="Calibri" w:hAnsi="Calibri" w:cs="Calibri"/>
      <w:sz w:val="22"/>
      <w:szCs w:val="21"/>
    </w:rPr>
  </w:style>
  <w:style w:type="paragraph" w:styleId="Odstavecseseznamem">
    <w:name w:val="List Paragraph"/>
    <w:basedOn w:val="Normln"/>
    <w:uiPriority w:val="34"/>
    <w:qFormat/>
    <w:rsid w:val="006D4232"/>
    <w:pPr>
      <w:ind w:left="720"/>
      <w:contextualSpacing/>
    </w:pPr>
  </w:style>
  <w:style w:type="paragraph" w:styleId="Textbubliny">
    <w:name w:val="Balloon Text"/>
    <w:basedOn w:val="Normln"/>
    <w:link w:val="TextbublinyChar"/>
    <w:uiPriority w:val="99"/>
    <w:semiHidden/>
    <w:unhideWhenUsed/>
    <w:rsid w:val="00B16AF5"/>
    <w:rPr>
      <w:rFonts w:ascii="Tahoma" w:hAnsi="Tahoma" w:cs="Tahoma"/>
      <w:sz w:val="16"/>
      <w:szCs w:val="16"/>
    </w:rPr>
  </w:style>
  <w:style w:type="character" w:customStyle="1" w:styleId="TextbublinyChar">
    <w:name w:val="Text bubliny Char"/>
    <w:basedOn w:val="Standardnpsmoodstavce"/>
    <w:link w:val="Textbubliny"/>
    <w:uiPriority w:val="99"/>
    <w:semiHidden/>
    <w:rsid w:val="00B16AF5"/>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5228">
      <w:bodyDiv w:val="1"/>
      <w:marLeft w:val="0"/>
      <w:marRight w:val="0"/>
      <w:marTop w:val="0"/>
      <w:marBottom w:val="0"/>
      <w:divBdr>
        <w:top w:val="none" w:sz="0" w:space="0" w:color="auto"/>
        <w:left w:val="none" w:sz="0" w:space="0" w:color="auto"/>
        <w:bottom w:val="none" w:sz="0" w:space="0" w:color="auto"/>
        <w:right w:val="none" w:sz="0" w:space="0" w:color="auto"/>
      </w:divBdr>
    </w:div>
    <w:div w:id="431127437">
      <w:bodyDiv w:val="1"/>
      <w:marLeft w:val="0"/>
      <w:marRight w:val="0"/>
      <w:marTop w:val="0"/>
      <w:marBottom w:val="0"/>
      <w:divBdr>
        <w:top w:val="none" w:sz="0" w:space="0" w:color="auto"/>
        <w:left w:val="none" w:sz="0" w:space="0" w:color="auto"/>
        <w:bottom w:val="none" w:sz="0" w:space="0" w:color="auto"/>
        <w:right w:val="none" w:sz="0" w:space="0" w:color="auto"/>
      </w:divBdr>
    </w:div>
    <w:div w:id="684675368">
      <w:bodyDiv w:val="1"/>
      <w:marLeft w:val="0"/>
      <w:marRight w:val="0"/>
      <w:marTop w:val="0"/>
      <w:marBottom w:val="0"/>
      <w:divBdr>
        <w:top w:val="none" w:sz="0" w:space="0" w:color="auto"/>
        <w:left w:val="none" w:sz="0" w:space="0" w:color="auto"/>
        <w:bottom w:val="none" w:sz="0" w:space="0" w:color="auto"/>
        <w:right w:val="none" w:sz="0" w:space="0" w:color="auto"/>
      </w:divBdr>
    </w:div>
    <w:div w:id="106510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visk.nkp.cz/visk-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sk.nkp.cz/visk-8-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3</Pages>
  <Words>971</Words>
  <Characters>5733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Souhlasím s</vt:lpstr>
    </vt:vector>
  </TitlesOfParts>
  <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Souhlasím s</dc:title>
  <dc:creator>Ministerstvo kultury</dc:creator>
  <cp:lastModifiedBy>Miturová Petra</cp:lastModifiedBy>
  <cp:revision>88</cp:revision>
  <cp:lastPrinted>2019-02-21T10:03:00Z</cp:lastPrinted>
  <dcterms:created xsi:type="dcterms:W3CDTF">2017-02-16T14:27:00Z</dcterms:created>
  <dcterms:modified xsi:type="dcterms:W3CDTF">2019-02-21T10:14:00Z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České republiky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