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59" w:rsidRPr="00AE034A" w:rsidRDefault="00AE034A" w:rsidP="002671FE">
      <w:pPr>
        <w:rPr>
          <w:sz w:val="28"/>
          <w:szCs w:val="28"/>
        </w:rPr>
      </w:pPr>
      <w:bookmarkStart w:id="0" w:name="_GoBack"/>
      <w:bookmarkEnd w:id="0"/>
      <w:r w:rsidRPr="00AE034A">
        <w:rPr>
          <w:sz w:val="28"/>
          <w:szCs w:val="28"/>
        </w:rPr>
        <w:t>Část II.</w:t>
      </w:r>
    </w:p>
    <w:p w:rsidR="00AE034A" w:rsidRPr="00AE034A" w:rsidRDefault="00AE034A" w:rsidP="00A81359">
      <w:pPr>
        <w:tabs>
          <w:tab w:val="center" w:pos="4536"/>
        </w:tabs>
        <w:outlineLvl w:val="0"/>
        <w:rPr>
          <w:sz w:val="28"/>
          <w:szCs w:val="28"/>
        </w:rPr>
      </w:pPr>
    </w:p>
    <w:p w:rsidR="00F764AF" w:rsidRPr="003E6C4E" w:rsidRDefault="009F4824" w:rsidP="00AE034A">
      <w:pPr>
        <w:tabs>
          <w:tab w:val="center" w:pos="4536"/>
        </w:tabs>
        <w:jc w:val="center"/>
        <w:outlineLvl w:val="0"/>
        <w:rPr>
          <w:b/>
          <w:sz w:val="28"/>
          <w:szCs w:val="28"/>
        </w:rPr>
      </w:pPr>
      <w:r w:rsidRPr="009F4824">
        <w:rPr>
          <w:b/>
          <w:sz w:val="28"/>
          <w:szCs w:val="28"/>
        </w:rPr>
        <w:t>Slovní zhodnocení realizovaného projektu</w:t>
      </w:r>
    </w:p>
    <w:p w:rsidR="0099308A" w:rsidRPr="003E6C4E" w:rsidRDefault="0099308A" w:rsidP="00F764AF">
      <w:pPr>
        <w:jc w:val="both"/>
        <w:rPr>
          <w:sz w:val="24"/>
        </w:rPr>
      </w:pPr>
    </w:p>
    <w:p w:rsidR="00B76C83" w:rsidRPr="00B76C83" w:rsidRDefault="00B76C83" w:rsidP="00B76C83">
      <w:pPr>
        <w:rPr>
          <w:sz w:val="24"/>
        </w:rPr>
      </w:pPr>
      <w:r w:rsidRPr="00B76C83">
        <w:rPr>
          <w:sz w:val="24"/>
        </w:rPr>
        <w:t>1. Stručná charakteristika cíle projektu</w:t>
      </w:r>
    </w:p>
    <w:p w:rsidR="00B76C83" w:rsidRPr="00B76C83" w:rsidRDefault="00B76C83" w:rsidP="00B76C83">
      <w:pPr>
        <w:rPr>
          <w:sz w:val="24"/>
        </w:rPr>
      </w:pPr>
    </w:p>
    <w:p w:rsidR="00B76C83" w:rsidRPr="00B76C83" w:rsidRDefault="00B76C83" w:rsidP="00B76C83">
      <w:pPr>
        <w:ind w:firstLine="708"/>
        <w:jc w:val="both"/>
        <w:rPr>
          <w:sz w:val="24"/>
        </w:rPr>
      </w:pPr>
      <w:r w:rsidRPr="00B76C83">
        <w:rPr>
          <w:sz w:val="24"/>
        </w:rPr>
        <w:t xml:space="preserve">Cílem projektu v roce 2025, který navazuje na předchozí jednoleté projekty, bylo </w:t>
      </w:r>
      <w:r w:rsidRPr="00B76C83">
        <w:rPr>
          <w:b/>
          <w:sz w:val="24"/>
        </w:rPr>
        <w:t xml:space="preserve">zajištění kontinuálního přístupu </w:t>
      </w:r>
      <w:r w:rsidRPr="00B76C83">
        <w:rPr>
          <w:sz w:val="24"/>
        </w:rPr>
        <w:t>k českým i zahraničním informačním zdrojům ve veřejně přístupných knihovnách, které se do projektu přihlásily. Databáze obsahují aktuální a archivní odborné</w:t>
      </w:r>
      <w:r w:rsidRPr="00B76C83">
        <w:rPr>
          <w:sz w:val="24"/>
        </w:rPr>
        <w:br/>
        <w:t>a populárně naučné informace z ekonomiky, politiky, kultury, práva atd. a jsou určené pro široké spektrum čtenářů a uživatelů, čímž je podporováno jejich vzdělávání a sebevzdělávání.</w:t>
      </w:r>
    </w:p>
    <w:p w:rsidR="00B76C83" w:rsidRPr="00B76C83" w:rsidRDefault="00B76C83" w:rsidP="00B76C83">
      <w:pPr>
        <w:rPr>
          <w:sz w:val="24"/>
        </w:rPr>
      </w:pPr>
    </w:p>
    <w:p w:rsidR="00B76C83" w:rsidRPr="00B76C83" w:rsidRDefault="00B76C83" w:rsidP="00B76C83">
      <w:pPr>
        <w:rPr>
          <w:sz w:val="24"/>
        </w:rPr>
      </w:pPr>
      <w:r w:rsidRPr="00B76C83">
        <w:rPr>
          <w:sz w:val="24"/>
        </w:rPr>
        <w:t>2. Realizovaný postup řešení, rekapitulace případných změn, použití finančních prostředků</w:t>
      </w:r>
    </w:p>
    <w:p w:rsidR="00B76C83" w:rsidRPr="00B76C83" w:rsidRDefault="00B76C83" w:rsidP="00B76C83">
      <w:pPr>
        <w:rPr>
          <w:sz w:val="24"/>
        </w:rPr>
      </w:pPr>
    </w:p>
    <w:p w:rsidR="00B76C83" w:rsidRPr="00B76C83" w:rsidRDefault="00B76C83" w:rsidP="00B76C83">
      <w:pPr>
        <w:ind w:firstLine="708"/>
        <w:jc w:val="both"/>
        <w:rPr>
          <w:sz w:val="24"/>
        </w:rPr>
      </w:pPr>
      <w:r w:rsidRPr="00B76C83">
        <w:rPr>
          <w:sz w:val="24"/>
        </w:rPr>
        <w:t xml:space="preserve">Přístup do </w:t>
      </w:r>
      <w:r w:rsidRPr="00B76C83">
        <w:rPr>
          <w:b/>
          <w:sz w:val="24"/>
        </w:rPr>
        <w:t>NewtonOne</w:t>
      </w:r>
      <w:r w:rsidRPr="00B76C83">
        <w:rPr>
          <w:sz w:val="24"/>
        </w:rPr>
        <w:t>, mediální databáze s archivem, která byla nabízena s jednotnou cenou, si zvolilo</w:t>
      </w:r>
      <w:r>
        <w:rPr>
          <w:sz w:val="24"/>
        </w:rPr>
        <w:t xml:space="preserve"> </w:t>
      </w:r>
      <w:r w:rsidRPr="00B76C83">
        <w:rPr>
          <w:b/>
          <w:sz w:val="24"/>
        </w:rPr>
        <w:t>49 knihoven</w:t>
      </w:r>
      <w:r w:rsidRPr="00B76C83">
        <w:rPr>
          <w:sz w:val="24"/>
        </w:rPr>
        <w:t>. Tato databáze byla dříve známá pod názvem Anopress. V roce 2025 došlo k její celkové inovaci, databáze byla přejmenována a převedena do zcela</w:t>
      </w:r>
      <w:r w:rsidR="00C706A4">
        <w:rPr>
          <w:sz w:val="24"/>
        </w:rPr>
        <w:t xml:space="preserve"> nového uživatelského rozhraní. </w:t>
      </w:r>
      <w:r w:rsidRPr="00B76C83">
        <w:rPr>
          <w:sz w:val="24"/>
        </w:rPr>
        <w:t xml:space="preserve">K využívání databáze právních informací </w:t>
      </w:r>
      <w:r w:rsidRPr="00B76C83">
        <w:rPr>
          <w:b/>
          <w:sz w:val="24"/>
        </w:rPr>
        <w:t>ASPI</w:t>
      </w:r>
      <w:r w:rsidRPr="00B76C83">
        <w:rPr>
          <w:sz w:val="24"/>
        </w:rPr>
        <w:t xml:space="preserve"> ve dvou variantách obsahu </w:t>
      </w:r>
      <w:r w:rsidRPr="00B76C83">
        <w:rPr>
          <w:sz w:val="24"/>
        </w:rPr>
        <w:br/>
        <w:t>a ceny se přihlásilo</w:t>
      </w:r>
      <w:r>
        <w:rPr>
          <w:sz w:val="24"/>
        </w:rPr>
        <w:t xml:space="preserve"> </w:t>
      </w:r>
      <w:r w:rsidRPr="00B76C83">
        <w:rPr>
          <w:b/>
          <w:sz w:val="24"/>
        </w:rPr>
        <w:t>24</w:t>
      </w:r>
      <w:r>
        <w:rPr>
          <w:sz w:val="24"/>
        </w:rPr>
        <w:t xml:space="preserve"> </w:t>
      </w:r>
      <w:r w:rsidRPr="00B76C83">
        <w:rPr>
          <w:b/>
          <w:sz w:val="24"/>
        </w:rPr>
        <w:t>knihoven</w:t>
      </w:r>
      <w:r w:rsidRPr="00B76C83">
        <w:rPr>
          <w:sz w:val="24"/>
        </w:rPr>
        <w:t xml:space="preserve">. Databázi zahraničních deníků a populárně naučných časopisů </w:t>
      </w:r>
      <w:r w:rsidRPr="00B76C83">
        <w:rPr>
          <w:b/>
          <w:sz w:val="24"/>
        </w:rPr>
        <w:t>PressReader</w:t>
      </w:r>
      <w:r w:rsidRPr="00B76C83">
        <w:rPr>
          <w:sz w:val="24"/>
        </w:rPr>
        <w:t xml:space="preserve"> si vybralo</w:t>
      </w:r>
      <w:r>
        <w:rPr>
          <w:sz w:val="24"/>
        </w:rPr>
        <w:t xml:space="preserve"> </w:t>
      </w:r>
      <w:r w:rsidRPr="00B76C83">
        <w:rPr>
          <w:b/>
          <w:sz w:val="24"/>
        </w:rPr>
        <w:t>31 knihoven</w:t>
      </w:r>
      <w:r w:rsidRPr="00B76C83">
        <w:rPr>
          <w:sz w:val="24"/>
        </w:rPr>
        <w:t>. Zde byla cena stanovena</w:t>
      </w:r>
      <w:r>
        <w:rPr>
          <w:sz w:val="24"/>
        </w:rPr>
        <w:t xml:space="preserve"> v souladu s licenční politikou </w:t>
      </w:r>
      <w:r w:rsidRPr="00B76C83">
        <w:rPr>
          <w:sz w:val="24"/>
        </w:rPr>
        <w:t xml:space="preserve">producenta podle počtu obyvatel </w:t>
      </w:r>
      <w:r>
        <w:rPr>
          <w:sz w:val="24"/>
        </w:rPr>
        <w:t xml:space="preserve">místa, kde se knihovna nachází. </w:t>
      </w:r>
      <w:r w:rsidRPr="00B76C83">
        <w:rPr>
          <w:sz w:val="24"/>
        </w:rPr>
        <w:t>Databáze</w:t>
      </w:r>
      <w:r>
        <w:rPr>
          <w:sz w:val="24"/>
        </w:rPr>
        <w:t xml:space="preserve"> </w:t>
      </w:r>
      <w:r w:rsidRPr="00B76C83">
        <w:rPr>
          <w:b/>
          <w:sz w:val="24"/>
        </w:rPr>
        <w:t>Archiv zpravodajství ČTK</w:t>
      </w:r>
      <w:r w:rsidRPr="00B76C83">
        <w:rPr>
          <w:sz w:val="24"/>
        </w:rPr>
        <w:t xml:space="preserve"> byla zvolena</w:t>
      </w:r>
      <w:r>
        <w:rPr>
          <w:sz w:val="24"/>
        </w:rPr>
        <w:t xml:space="preserve"> </w:t>
      </w:r>
      <w:r w:rsidRPr="00B76C83">
        <w:rPr>
          <w:b/>
          <w:sz w:val="24"/>
        </w:rPr>
        <w:t>13</w:t>
      </w:r>
      <w:r>
        <w:rPr>
          <w:sz w:val="24"/>
        </w:rPr>
        <w:t xml:space="preserve"> </w:t>
      </w:r>
      <w:r w:rsidRPr="00B76C83">
        <w:rPr>
          <w:b/>
          <w:sz w:val="24"/>
        </w:rPr>
        <w:t>knihovnami</w:t>
      </w:r>
      <w:r w:rsidRPr="00B76C83">
        <w:rPr>
          <w:sz w:val="24"/>
        </w:rPr>
        <w:t>, cena byla stanovena ve dvou variantách a odvíjela se dle počtu registrovaných čtenářů v dané knihovně. V příloze č. 1 je uveden seznam zpřís</w:t>
      </w:r>
      <w:r>
        <w:rPr>
          <w:sz w:val="24"/>
        </w:rPr>
        <w:t xml:space="preserve">tupňovaných databází a knihoven. </w:t>
      </w:r>
    </w:p>
    <w:p w:rsidR="00B76C83" w:rsidRPr="00B76C83" w:rsidRDefault="00B76C83" w:rsidP="00B76C83">
      <w:pPr>
        <w:jc w:val="both"/>
        <w:rPr>
          <w:sz w:val="24"/>
        </w:rPr>
      </w:pPr>
      <w:r w:rsidRPr="00B76C83">
        <w:rPr>
          <w:sz w:val="24"/>
        </w:rPr>
        <w:t xml:space="preserve">Na zajištění služby multilicenčního přístupu do plnotextových databází na období </w:t>
      </w:r>
      <w:r w:rsidRPr="00B76C83">
        <w:rPr>
          <w:sz w:val="24"/>
        </w:rPr>
        <w:br/>
        <w:t xml:space="preserve">duben – listopad 2025 byly stejně jako v minulých letech požadovány pouze </w:t>
      </w:r>
      <w:r w:rsidRPr="00B76C83">
        <w:rPr>
          <w:b/>
          <w:sz w:val="24"/>
        </w:rPr>
        <w:t>neinvestiční finanční prostředky</w:t>
      </w:r>
      <w:r w:rsidRPr="00B76C83">
        <w:rPr>
          <w:sz w:val="24"/>
        </w:rPr>
        <w:t xml:space="preserve">. Aby bylo možné pokračovat v kontinuitě projektu a včas uzavřít licenční smlouvy s dodavateli, byla projektu přidělena přesná suma finančních prostředků. Z projektu byla jedna knihovna vyřazena, jelikož vykazovala nulové statistiky z využívání databáze. Rozhodnutí o vyřazení bylo založeno na statistikách z předchozího roku. </w:t>
      </w:r>
    </w:p>
    <w:p w:rsidR="00B76C83" w:rsidRPr="00B76C83" w:rsidRDefault="00EF09C6" w:rsidP="00B76C83">
      <w:pPr>
        <w:jc w:val="both"/>
        <w:rPr>
          <w:sz w:val="24"/>
        </w:rPr>
      </w:pPr>
      <w:r>
        <w:rPr>
          <w:sz w:val="24"/>
        </w:rPr>
        <w:t xml:space="preserve">Se </w:t>
      </w:r>
      <w:r w:rsidR="00B76C83" w:rsidRPr="00B76C83">
        <w:rPr>
          <w:sz w:val="24"/>
        </w:rPr>
        <w:t>všemi firmami byly uzavřeny smlouvy na přístupy do databází a knihovny byly</w:t>
      </w:r>
      <w:r w:rsidR="00B76C83" w:rsidRPr="00B76C83">
        <w:rPr>
          <w:sz w:val="24"/>
        </w:rPr>
        <w:br/>
        <w:t xml:space="preserve">o všech změnách informovány prostřednictvím e-mailové pošty a prostřednictvím webinářů. </w:t>
      </w:r>
      <w:r w:rsidR="00B76C83" w:rsidRPr="00B76C83">
        <w:rPr>
          <w:sz w:val="24"/>
        </w:rPr>
        <w:br/>
        <w:t>Pro knihovny byla uskutečněna školení pro práci s databázemi na jaře a v podzimním termínu byla školení zaměřena na představení jednotlivých databází. K databázi NewtonOne byl navíc uspořádán webinář zaměřený na nové uživatelské rozhraní. Za účelem dosažení vyšší účasti probíhala všechna školení v jiný den a byla uskutečněna v on-line formě.</w:t>
      </w:r>
    </w:p>
    <w:p w:rsidR="00B76C83" w:rsidRPr="00B76C83" w:rsidRDefault="00B76C83" w:rsidP="00B76C83">
      <w:pPr>
        <w:jc w:val="both"/>
        <w:rPr>
          <w:sz w:val="24"/>
        </w:rPr>
      </w:pPr>
      <w:r w:rsidRPr="00B76C83">
        <w:rPr>
          <w:sz w:val="24"/>
        </w:rPr>
        <w:t xml:space="preserve">V jarním období se webinář k databázi ASPI uskutečnil 27. května 2025 a zúčastnilo se jej </w:t>
      </w:r>
      <w:r>
        <w:rPr>
          <w:sz w:val="24"/>
        </w:rPr>
        <w:t>23</w:t>
      </w:r>
      <w:r w:rsidRPr="00B76C83">
        <w:rPr>
          <w:sz w:val="24"/>
        </w:rPr>
        <w:br/>
        <w:t xml:space="preserve">účastníků. Webinář databáze Archiv zpravodajství ČTK se uskutečnil 28. května 2025 </w:t>
      </w:r>
      <w:r>
        <w:rPr>
          <w:sz w:val="24"/>
        </w:rPr>
        <w:t xml:space="preserve">a zúčastnilo se jej 20 </w:t>
      </w:r>
      <w:r w:rsidRPr="00B76C83">
        <w:rPr>
          <w:sz w:val="24"/>
        </w:rPr>
        <w:t xml:space="preserve">účastníků. Webinář databáze PressReader se uskutečnil 5. června 2025, ke kterému se přihlásilo </w:t>
      </w:r>
      <w:r>
        <w:rPr>
          <w:sz w:val="24"/>
        </w:rPr>
        <w:t xml:space="preserve">31 </w:t>
      </w:r>
      <w:r w:rsidRPr="00B76C83">
        <w:rPr>
          <w:sz w:val="24"/>
        </w:rPr>
        <w:t xml:space="preserve">účastníků. Ke dvěma webinářům databáze NewtonOne, které se konaly 24. dubna </w:t>
      </w:r>
      <w:r w:rsidR="00C706A4">
        <w:rPr>
          <w:sz w:val="24"/>
        </w:rPr>
        <w:br/>
      </w:r>
      <w:r w:rsidRPr="00B76C83">
        <w:rPr>
          <w:sz w:val="24"/>
        </w:rPr>
        <w:t xml:space="preserve">a 14. května 2025, se dohromady přihlásilo </w:t>
      </w:r>
      <w:r>
        <w:rPr>
          <w:sz w:val="24"/>
        </w:rPr>
        <w:t>189</w:t>
      </w:r>
      <w:r w:rsidRPr="00B76C83">
        <w:rPr>
          <w:sz w:val="24"/>
        </w:rPr>
        <w:t xml:space="preserve"> účastníků. </w:t>
      </w:r>
    </w:p>
    <w:p w:rsidR="00B76C83" w:rsidRPr="00B76C83" w:rsidRDefault="00B76C83" w:rsidP="00B76C83">
      <w:pPr>
        <w:jc w:val="both"/>
        <w:rPr>
          <w:sz w:val="24"/>
        </w:rPr>
      </w:pPr>
      <w:r w:rsidRPr="00B76C83">
        <w:rPr>
          <w:sz w:val="24"/>
        </w:rPr>
        <w:t xml:space="preserve">V podzimním termínu 4. listopadu 2025 proběhla prezentace databáze Archiv zpravodajství ČTK, kterou sledovalo </w:t>
      </w:r>
      <w:r>
        <w:rPr>
          <w:sz w:val="24"/>
        </w:rPr>
        <w:t>29</w:t>
      </w:r>
      <w:r w:rsidRPr="00B76C83">
        <w:rPr>
          <w:sz w:val="24"/>
        </w:rPr>
        <w:t xml:space="preserve"> účastníků. Prezentaci databáze ASPI 11. listopadu </w:t>
      </w:r>
      <w:r>
        <w:rPr>
          <w:sz w:val="24"/>
        </w:rPr>
        <w:t xml:space="preserve">sledovalo 18 </w:t>
      </w:r>
      <w:r w:rsidRPr="00B76C83">
        <w:rPr>
          <w:sz w:val="24"/>
        </w:rPr>
        <w:t>účastníků.  Databáze NewtonOne byla prez</w:t>
      </w:r>
      <w:r>
        <w:rPr>
          <w:sz w:val="24"/>
        </w:rPr>
        <w:t xml:space="preserve">entována 12. listopadu 2025 pro 40 </w:t>
      </w:r>
      <w:r w:rsidRPr="00B76C83">
        <w:rPr>
          <w:sz w:val="24"/>
        </w:rPr>
        <w:t>účastníků a webinář databáze PressReader byl uskutečněn 13. listopadu</w:t>
      </w:r>
      <w:r>
        <w:rPr>
          <w:sz w:val="24"/>
        </w:rPr>
        <w:t xml:space="preserve"> 2025, ke kterému se přihlásilo 34 </w:t>
      </w:r>
      <w:r w:rsidRPr="00B76C83">
        <w:rPr>
          <w:sz w:val="24"/>
        </w:rPr>
        <w:t xml:space="preserve">účastníků. </w:t>
      </w:r>
    </w:p>
    <w:p w:rsidR="00B76C83" w:rsidRPr="00B76C83" w:rsidRDefault="00B76C83" w:rsidP="00B76C83">
      <w:pPr>
        <w:jc w:val="both"/>
        <w:rPr>
          <w:sz w:val="24"/>
        </w:rPr>
      </w:pPr>
      <w:r w:rsidRPr="00B76C83">
        <w:rPr>
          <w:sz w:val="24"/>
        </w:rPr>
        <w:t xml:space="preserve">Se zástupci knihoven byla řešitelka projektu v případě potřeby v kontaktu prostřednictvím </w:t>
      </w:r>
      <w:r w:rsidRPr="00B76C83">
        <w:rPr>
          <w:sz w:val="24"/>
        </w:rPr>
        <w:br/>
        <w:t>e-mailové pošty nebo telefonu. Pravidelně měsíčně byly knihovnám posílány statistiky využívání databází a to v položkách počet přístupů, počet dotazů a počet zobrazených plných textů. Statistiky jsou uvedeny v přílohách č. 2-5.</w:t>
      </w:r>
    </w:p>
    <w:p w:rsidR="00B76C83" w:rsidRPr="00B76C83" w:rsidRDefault="00B76C83" w:rsidP="00B76C83">
      <w:pPr>
        <w:jc w:val="both"/>
        <w:rPr>
          <w:sz w:val="24"/>
        </w:rPr>
      </w:pPr>
    </w:p>
    <w:p w:rsidR="00B76C83" w:rsidRPr="00B76C83" w:rsidRDefault="00B76C83" w:rsidP="00B76C83">
      <w:pPr>
        <w:rPr>
          <w:sz w:val="24"/>
        </w:rPr>
      </w:pPr>
    </w:p>
    <w:p w:rsidR="00B76C83" w:rsidRPr="00B76C83" w:rsidRDefault="00B76C83" w:rsidP="00B76C83">
      <w:pPr>
        <w:rPr>
          <w:sz w:val="24"/>
        </w:rPr>
      </w:pPr>
      <w:r w:rsidRPr="00B76C83">
        <w:rPr>
          <w:sz w:val="24"/>
        </w:rPr>
        <w:lastRenderedPageBreak/>
        <w:t>3. Dosažené výsledky, charakteristika výstupů, přínos řešení</w:t>
      </w:r>
    </w:p>
    <w:p w:rsidR="00B76C83" w:rsidRPr="00B76C83" w:rsidRDefault="00B76C83" w:rsidP="00B76C83">
      <w:pPr>
        <w:rPr>
          <w:sz w:val="24"/>
        </w:rPr>
      </w:pPr>
    </w:p>
    <w:p w:rsidR="00B62E29" w:rsidRDefault="00B76C83" w:rsidP="00B76C83">
      <w:pPr>
        <w:ind w:firstLine="708"/>
        <w:jc w:val="both"/>
        <w:rPr>
          <w:sz w:val="24"/>
          <w:szCs w:val="24"/>
        </w:rPr>
      </w:pPr>
      <w:r w:rsidRPr="00B76C83">
        <w:rPr>
          <w:sz w:val="24"/>
        </w:rPr>
        <w:t xml:space="preserve">I nadále byla zajištěna </w:t>
      </w:r>
      <w:r w:rsidRPr="00B76C83">
        <w:rPr>
          <w:b/>
          <w:sz w:val="24"/>
        </w:rPr>
        <w:t>kontinuita</w:t>
      </w:r>
      <w:r w:rsidRPr="00B76C83">
        <w:rPr>
          <w:sz w:val="24"/>
        </w:rPr>
        <w:t xml:space="preserve"> přístupu do vybraných plnotextových elektronických informačních zdrojů domácí i zahraniční provenience. Pro čtenáře a uživatele širokého spektra veřejně přístupných knihoven zůstala </w:t>
      </w:r>
      <w:r w:rsidRPr="00B76C83">
        <w:rPr>
          <w:b/>
          <w:sz w:val="24"/>
        </w:rPr>
        <w:t>zachována úroveň služeb</w:t>
      </w:r>
      <w:r w:rsidRPr="00B76C83">
        <w:rPr>
          <w:sz w:val="24"/>
        </w:rPr>
        <w:t>, které knihovny již standardně poskytují, tj. rychlý a kvalitní přístup k </w:t>
      </w:r>
      <w:r w:rsidRPr="00B76C83">
        <w:rPr>
          <w:b/>
          <w:sz w:val="24"/>
        </w:rPr>
        <w:t>aktuálním a archivním informacím</w:t>
      </w:r>
      <w:r w:rsidRPr="00B76C83">
        <w:rPr>
          <w:sz w:val="24"/>
        </w:rPr>
        <w:t xml:space="preserve"> z ekonomiky, politiky, práva nebo kultury. V knihovnách mohly být zpřístupněny i dokumenty, které nejsou předmětem jejich trvalého uchovávání v knihovním fondu. Zavedená praxe, tj. multilicenční přístup a podání jedné žádosti a jednoho vyhodnocení, je pro knihovny jednoznačným přínosem především z hlediska ušetření pracovních kapacit.</w:t>
      </w:r>
      <w:r w:rsidR="00EF09C6">
        <w:rPr>
          <w:sz w:val="24"/>
        </w:rPr>
        <w:t xml:space="preserve"> Zároveň v</w:t>
      </w:r>
      <w:r w:rsidR="00EF09C6" w:rsidRPr="00EF09C6">
        <w:rPr>
          <w:sz w:val="24"/>
        </w:rPr>
        <w:t>yjednaná konsorciální cena výrazně přispívá k efe</w:t>
      </w:r>
      <w:r w:rsidR="00EF09C6">
        <w:rPr>
          <w:sz w:val="24"/>
        </w:rPr>
        <w:t>ktivnějšímu financování databází</w:t>
      </w:r>
      <w:r w:rsidR="00EF09C6" w:rsidRPr="00EF09C6">
        <w:rPr>
          <w:sz w:val="24"/>
        </w:rPr>
        <w:t xml:space="preserve"> oproti jejímu samostatnému pořízení za plnou cenu.</w:t>
      </w:r>
    </w:p>
    <w:sectPr w:rsidR="00B62E29" w:rsidSect="00B76C83">
      <w:head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AE" w:rsidRDefault="001243AE">
      <w:r>
        <w:separator/>
      </w:r>
    </w:p>
  </w:endnote>
  <w:endnote w:type="continuationSeparator" w:id="0">
    <w:p w:rsidR="001243AE" w:rsidRDefault="0012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AE" w:rsidRDefault="001243AE">
      <w:r>
        <w:separator/>
      </w:r>
    </w:p>
  </w:footnote>
  <w:footnote w:type="continuationSeparator" w:id="0">
    <w:p w:rsidR="001243AE" w:rsidRDefault="0012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FF" w:rsidRDefault="00ED5AFF" w:rsidP="00ED5AFF">
    <w:pPr>
      <w:pStyle w:val="Zhlav"/>
    </w:pPr>
    <w:r>
      <w:t>Zpráva o rea</w:t>
    </w:r>
    <w:r w:rsidR="008670D9">
      <w:t xml:space="preserve">lizaci projektu VISK za rok </w:t>
    </w:r>
    <w:r w:rsidR="009A31DE">
      <w:t>2025</w:t>
    </w:r>
    <w:r>
      <w:t xml:space="preserve"> – SPO MK</w:t>
    </w:r>
  </w:p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385F19"/>
    <w:multiLevelType w:val="hybridMultilevel"/>
    <w:tmpl w:val="6C6021E4"/>
    <w:lvl w:ilvl="0" w:tplc="A5821F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14"/>
  </w:num>
  <w:num w:numId="11">
    <w:abstractNumId w:val="5"/>
  </w:num>
  <w:num w:numId="12">
    <w:abstractNumId w:val="9"/>
  </w:num>
  <w:num w:numId="13">
    <w:abstractNumId w:val="6"/>
  </w:num>
  <w:num w:numId="14">
    <w:abstractNumId w:val="15"/>
  </w:num>
  <w:num w:numId="15">
    <w:abstractNumId w:val="2"/>
  </w:num>
  <w:num w:numId="16">
    <w:abstractNumId w:val="13"/>
  </w:num>
  <w:num w:numId="1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01094"/>
    <w:rsid w:val="000138E1"/>
    <w:rsid w:val="00014CED"/>
    <w:rsid w:val="00021D2A"/>
    <w:rsid w:val="00024956"/>
    <w:rsid w:val="000314E8"/>
    <w:rsid w:val="00031C6A"/>
    <w:rsid w:val="00034803"/>
    <w:rsid w:val="0005272D"/>
    <w:rsid w:val="00057D50"/>
    <w:rsid w:val="00062DD4"/>
    <w:rsid w:val="00066A67"/>
    <w:rsid w:val="00071301"/>
    <w:rsid w:val="0007256A"/>
    <w:rsid w:val="00090B98"/>
    <w:rsid w:val="000A0E45"/>
    <w:rsid w:val="000B22AE"/>
    <w:rsid w:val="000B5490"/>
    <w:rsid w:val="000C3E3F"/>
    <w:rsid w:val="000D6FD2"/>
    <w:rsid w:val="000D77D0"/>
    <w:rsid w:val="00106813"/>
    <w:rsid w:val="00113391"/>
    <w:rsid w:val="00114603"/>
    <w:rsid w:val="00116AF0"/>
    <w:rsid w:val="001230C0"/>
    <w:rsid w:val="001243AE"/>
    <w:rsid w:val="00136E10"/>
    <w:rsid w:val="0014670D"/>
    <w:rsid w:val="00160722"/>
    <w:rsid w:val="001708B6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C3C15"/>
    <w:rsid w:val="001E2741"/>
    <w:rsid w:val="001F32EF"/>
    <w:rsid w:val="001F47FF"/>
    <w:rsid w:val="0020229B"/>
    <w:rsid w:val="002033C0"/>
    <w:rsid w:val="00227AA1"/>
    <w:rsid w:val="00235FB0"/>
    <w:rsid w:val="0024470D"/>
    <w:rsid w:val="002560E6"/>
    <w:rsid w:val="002671FE"/>
    <w:rsid w:val="00275883"/>
    <w:rsid w:val="00295890"/>
    <w:rsid w:val="00295EFC"/>
    <w:rsid w:val="002961C6"/>
    <w:rsid w:val="002B3769"/>
    <w:rsid w:val="002B6EC0"/>
    <w:rsid w:val="002C3E03"/>
    <w:rsid w:val="00323DC8"/>
    <w:rsid w:val="003247CF"/>
    <w:rsid w:val="003325AA"/>
    <w:rsid w:val="00334D44"/>
    <w:rsid w:val="0033541E"/>
    <w:rsid w:val="003376D4"/>
    <w:rsid w:val="00345C4A"/>
    <w:rsid w:val="00361EDE"/>
    <w:rsid w:val="003629DB"/>
    <w:rsid w:val="00371C45"/>
    <w:rsid w:val="0037321D"/>
    <w:rsid w:val="00374303"/>
    <w:rsid w:val="00375A37"/>
    <w:rsid w:val="00390F13"/>
    <w:rsid w:val="003913E1"/>
    <w:rsid w:val="003A0698"/>
    <w:rsid w:val="003A0CBF"/>
    <w:rsid w:val="003A5C77"/>
    <w:rsid w:val="003C1E6C"/>
    <w:rsid w:val="003D1ED2"/>
    <w:rsid w:val="003E00F2"/>
    <w:rsid w:val="003E42B8"/>
    <w:rsid w:val="003E5B39"/>
    <w:rsid w:val="003E6C4E"/>
    <w:rsid w:val="003F652A"/>
    <w:rsid w:val="004023F6"/>
    <w:rsid w:val="00407606"/>
    <w:rsid w:val="00407DA2"/>
    <w:rsid w:val="004109D3"/>
    <w:rsid w:val="00424458"/>
    <w:rsid w:val="004252FF"/>
    <w:rsid w:val="0042686B"/>
    <w:rsid w:val="00431EBF"/>
    <w:rsid w:val="00433C5C"/>
    <w:rsid w:val="00436F43"/>
    <w:rsid w:val="0044000E"/>
    <w:rsid w:val="004417D8"/>
    <w:rsid w:val="00462301"/>
    <w:rsid w:val="004661A1"/>
    <w:rsid w:val="00474C27"/>
    <w:rsid w:val="004757BC"/>
    <w:rsid w:val="00476B54"/>
    <w:rsid w:val="00481934"/>
    <w:rsid w:val="0048630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4E19"/>
    <w:rsid w:val="004D78EE"/>
    <w:rsid w:val="004E5D38"/>
    <w:rsid w:val="004E6923"/>
    <w:rsid w:val="004F33DB"/>
    <w:rsid w:val="004F3B6F"/>
    <w:rsid w:val="004F3CE4"/>
    <w:rsid w:val="004F6F90"/>
    <w:rsid w:val="00506DE9"/>
    <w:rsid w:val="005129F1"/>
    <w:rsid w:val="00515497"/>
    <w:rsid w:val="0052005F"/>
    <w:rsid w:val="005234A1"/>
    <w:rsid w:val="00526DED"/>
    <w:rsid w:val="005310D1"/>
    <w:rsid w:val="00543C1B"/>
    <w:rsid w:val="00543DAF"/>
    <w:rsid w:val="00550693"/>
    <w:rsid w:val="00574057"/>
    <w:rsid w:val="0057799A"/>
    <w:rsid w:val="00581BED"/>
    <w:rsid w:val="00593D09"/>
    <w:rsid w:val="00596847"/>
    <w:rsid w:val="005C48C0"/>
    <w:rsid w:val="005D4374"/>
    <w:rsid w:val="005D5C68"/>
    <w:rsid w:val="006002E3"/>
    <w:rsid w:val="0060054E"/>
    <w:rsid w:val="006018F9"/>
    <w:rsid w:val="006054B8"/>
    <w:rsid w:val="00621D8C"/>
    <w:rsid w:val="00623BEF"/>
    <w:rsid w:val="00641CDE"/>
    <w:rsid w:val="006426A0"/>
    <w:rsid w:val="0064499D"/>
    <w:rsid w:val="006477BF"/>
    <w:rsid w:val="00652AEA"/>
    <w:rsid w:val="006545DA"/>
    <w:rsid w:val="00654F7C"/>
    <w:rsid w:val="00662498"/>
    <w:rsid w:val="00663FA0"/>
    <w:rsid w:val="006773E4"/>
    <w:rsid w:val="006862D1"/>
    <w:rsid w:val="0068759E"/>
    <w:rsid w:val="0069262A"/>
    <w:rsid w:val="00694DD3"/>
    <w:rsid w:val="006B6039"/>
    <w:rsid w:val="006C0B16"/>
    <w:rsid w:val="006D53A4"/>
    <w:rsid w:val="006E460A"/>
    <w:rsid w:val="006E6853"/>
    <w:rsid w:val="007014FC"/>
    <w:rsid w:val="00704527"/>
    <w:rsid w:val="007065E6"/>
    <w:rsid w:val="0071293D"/>
    <w:rsid w:val="007251D4"/>
    <w:rsid w:val="00732B65"/>
    <w:rsid w:val="007420ED"/>
    <w:rsid w:val="007443B1"/>
    <w:rsid w:val="00745748"/>
    <w:rsid w:val="007546C9"/>
    <w:rsid w:val="00756C20"/>
    <w:rsid w:val="0077024E"/>
    <w:rsid w:val="00772F8B"/>
    <w:rsid w:val="00777D3C"/>
    <w:rsid w:val="00787172"/>
    <w:rsid w:val="0079234B"/>
    <w:rsid w:val="007951CE"/>
    <w:rsid w:val="007973FD"/>
    <w:rsid w:val="007A0036"/>
    <w:rsid w:val="007A629B"/>
    <w:rsid w:val="007B2287"/>
    <w:rsid w:val="007B2EAC"/>
    <w:rsid w:val="007B457E"/>
    <w:rsid w:val="007C0D80"/>
    <w:rsid w:val="007C19C3"/>
    <w:rsid w:val="007C3FA1"/>
    <w:rsid w:val="007D43DC"/>
    <w:rsid w:val="007F1E36"/>
    <w:rsid w:val="007F4F77"/>
    <w:rsid w:val="0081486B"/>
    <w:rsid w:val="00817100"/>
    <w:rsid w:val="00817D9A"/>
    <w:rsid w:val="008358D5"/>
    <w:rsid w:val="0085584A"/>
    <w:rsid w:val="008670D9"/>
    <w:rsid w:val="00874222"/>
    <w:rsid w:val="00883E05"/>
    <w:rsid w:val="00897D60"/>
    <w:rsid w:val="008A363E"/>
    <w:rsid w:val="008B0EA5"/>
    <w:rsid w:val="008B2635"/>
    <w:rsid w:val="008B5E1F"/>
    <w:rsid w:val="008C34D7"/>
    <w:rsid w:val="008D0844"/>
    <w:rsid w:val="008E2D4A"/>
    <w:rsid w:val="008E69B4"/>
    <w:rsid w:val="008F2875"/>
    <w:rsid w:val="009039B3"/>
    <w:rsid w:val="009048AE"/>
    <w:rsid w:val="009054EB"/>
    <w:rsid w:val="009121E0"/>
    <w:rsid w:val="00934526"/>
    <w:rsid w:val="00946014"/>
    <w:rsid w:val="00960398"/>
    <w:rsid w:val="009721AF"/>
    <w:rsid w:val="00991FFE"/>
    <w:rsid w:val="0099308A"/>
    <w:rsid w:val="009A0409"/>
    <w:rsid w:val="009A319C"/>
    <w:rsid w:val="009A31DE"/>
    <w:rsid w:val="009A6255"/>
    <w:rsid w:val="009B302F"/>
    <w:rsid w:val="009B5383"/>
    <w:rsid w:val="009C2FE7"/>
    <w:rsid w:val="009C5AA9"/>
    <w:rsid w:val="009D0AEE"/>
    <w:rsid w:val="009D13D0"/>
    <w:rsid w:val="009D62E9"/>
    <w:rsid w:val="009F4824"/>
    <w:rsid w:val="009F630E"/>
    <w:rsid w:val="00A0346A"/>
    <w:rsid w:val="00A13648"/>
    <w:rsid w:val="00A13CA0"/>
    <w:rsid w:val="00A152D8"/>
    <w:rsid w:val="00A1616F"/>
    <w:rsid w:val="00A17927"/>
    <w:rsid w:val="00A22DA5"/>
    <w:rsid w:val="00A433DC"/>
    <w:rsid w:val="00A450AB"/>
    <w:rsid w:val="00A51436"/>
    <w:rsid w:val="00A55FE1"/>
    <w:rsid w:val="00A56254"/>
    <w:rsid w:val="00A57DB1"/>
    <w:rsid w:val="00A70489"/>
    <w:rsid w:val="00A77D05"/>
    <w:rsid w:val="00A81359"/>
    <w:rsid w:val="00A822D7"/>
    <w:rsid w:val="00A842D4"/>
    <w:rsid w:val="00A93175"/>
    <w:rsid w:val="00A93F0F"/>
    <w:rsid w:val="00A95BC1"/>
    <w:rsid w:val="00AB23D0"/>
    <w:rsid w:val="00AB6AF4"/>
    <w:rsid w:val="00AC747E"/>
    <w:rsid w:val="00AD2DE9"/>
    <w:rsid w:val="00AD49AD"/>
    <w:rsid w:val="00AE034A"/>
    <w:rsid w:val="00AE439E"/>
    <w:rsid w:val="00AF2B08"/>
    <w:rsid w:val="00AF3D96"/>
    <w:rsid w:val="00B018C5"/>
    <w:rsid w:val="00B038AD"/>
    <w:rsid w:val="00B414D4"/>
    <w:rsid w:val="00B53E33"/>
    <w:rsid w:val="00B60BBC"/>
    <w:rsid w:val="00B62110"/>
    <w:rsid w:val="00B62CC7"/>
    <w:rsid w:val="00B62E29"/>
    <w:rsid w:val="00B638F9"/>
    <w:rsid w:val="00B70C8B"/>
    <w:rsid w:val="00B75D99"/>
    <w:rsid w:val="00B76C83"/>
    <w:rsid w:val="00B83327"/>
    <w:rsid w:val="00B853E3"/>
    <w:rsid w:val="00B854D4"/>
    <w:rsid w:val="00B94BEB"/>
    <w:rsid w:val="00BA4B9F"/>
    <w:rsid w:val="00BB6F6B"/>
    <w:rsid w:val="00BC2764"/>
    <w:rsid w:val="00BC5055"/>
    <w:rsid w:val="00BE7A00"/>
    <w:rsid w:val="00BF17E9"/>
    <w:rsid w:val="00BF3021"/>
    <w:rsid w:val="00C07CFA"/>
    <w:rsid w:val="00C64DF7"/>
    <w:rsid w:val="00C65559"/>
    <w:rsid w:val="00C65F5A"/>
    <w:rsid w:val="00C706A4"/>
    <w:rsid w:val="00C70C56"/>
    <w:rsid w:val="00C95B56"/>
    <w:rsid w:val="00CA383C"/>
    <w:rsid w:val="00CA4D82"/>
    <w:rsid w:val="00CB2F8E"/>
    <w:rsid w:val="00CC74F7"/>
    <w:rsid w:val="00CD3CCE"/>
    <w:rsid w:val="00CE0DA3"/>
    <w:rsid w:val="00CE216E"/>
    <w:rsid w:val="00CE594A"/>
    <w:rsid w:val="00CF3421"/>
    <w:rsid w:val="00D12875"/>
    <w:rsid w:val="00D12AF4"/>
    <w:rsid w:val="00D172AB"/>
    <w:rsid w:val="00D17CE4"/>
    <w:rsid w:val="00D22759"/>
    <w:rsid w:val="00D2791F"/>
    <w:rsid w:val="00D36CB9"/>
    <w:rsid w:val="00D45684"/>
    <w:rsid w:val="00D50933"/>
    <w:rsid w:val="00D54D76"/>
    <w:rsid w:val="00D60333"/>
    <w:rsid w:val="00D75CD4"/>
    <w:rsid w:val="00D76099"/>
    <w:rsid w:val="00D772D6"/>
    <w:rsid w:val="00D81F62"/>
    <w:rsid w:val="00D8625A"/>
    <w:rsid w:val="00D8732E"/>
    <w:rsid w:val="00D87524"/>
    <w:rsid w:val="00DA458E"/>
    <w:rsid w:val="00DA47D8"/>
    <w:rsid w:val="00DA7525"/>
    <w:rsid w:val="00DB01B1"/>
    <w:rsid w:val="00DB16AF"/>
    <w:rsid w:val="00DB2F9A"/>
    <w:rsid w:val="00DB5DBA"/>
    <w:rsid w:val="00DB6427"/>
    <w:rsid w:val="00DD0EC5"/>
    <w:rsid w:val="00DE0606"/>
    <w:rsid w:val="00DE3637"/>
    <w:rsid w:val="00DE7934"/>
    <w:rsid w:val="00DF00EE"/>
    <w:rsid w:val="00DF2FD8"/>
    <w:rsid w:val="00E10B02"/>
    <w:rsid w:val="00E26447"/>
    <w:rsid w:val="00E40372"/>
    <w:rsid w:val="00E44FB0"/>
    <w:rsid w:val="00E56F2C"/>
    <w:rsid w:val="00E643DF"/>
    <w:rsid w:val="00E65769"/>
    <w:rsid w:val="00E731AC"/>
    <w:rsid w:val="00E76592"/>
    <w:rsid w:val="00E777E4"/>
    <w:rsid w:val="00E839DA"/>
    <w:rsid w:val="00E87F16"/>
    <w:rsid w:val="00ED26D0"/>
    <w:rsid w:val="00ED5AFF"/>
    <w:rsid w:val="00EE3F1F"/>
    <w:rsid w:val="00EF09C6"/>
    <w:rsid w:val="00EF2824"/>
    <w:rsid w:val="00EF5B0F"/>
    <w:rsid w:val="00F01A61"/>
    <w:rsid w:val="00F02B94"/>
    <w:rsid w:val="00F06391"/>
    <w:rsid w:val="00F14B00"/>
    <w:rsid w:val="00F238F2"/>
    <w:rsid w:val="00F27A06"/>
    <w:rsid w:val="00F349B4"/>
    <w:rsid w:val="00F34A65"/>
    <w:rsid w:val="00F4007F"/>
    <w:rsid w:val="00F70F43"/>
    <w:rsid w:val="00F71233"/>
    <w:rsid w:val="00F727A5"/>
    <w:rsid w:val="00F764AF"/>
    <w:rsid w:val="00F77A0E"/>
    <w:rsid w:val="00F93B13"/>
    <w:rsid w:val="00F93CB6"/>
    <w:rsid w:val="00F93EA9"/>
    <w:rsid w:val="00F94D18"/>
    <w:rsid w:val="00F97922"/>
    <w:rsid w:val="00FC1B41"/>
    <w:rsid w:val="00FD1125"/>
    <w:rsid w:val="00FD3252"/>
    <w:rsid w:val="00FD7934"/>
    <w:rsid w:val="00FE34EF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E28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Odkaznakoment">
    <w:name w:val="annotation reference"/>
    <w:rsid w:val="002560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60E6"/>
  </w:style>
  <w:style w:type="character" w:customStyle="1" w:styleId="TextkomenteChar">
    <w:name w:val="Text komentáře Char"/>
    <w:basedOn w:val="Standardnpsmoodstavce"/>
    <w:link w:val="Textkomente"/>
    <w:rsid w:val="002560E6"/>
  </w:style>
  <w:style w:type="paragraph" w:styleId="Pedmtkomente">
    <w:name w:val="annotation subject"/>
    <w:basedOn w:val="Textkomente"/>
    <w:next w:val="Textkomente"/>
    <w:link w:val="PedmtkomenteChar"/>
    <w:rsid w:val="002560E6"/>
    <w:rPr>
      <w:b/>
      <w:bCs/>
    </w:rPr>
  </w:style>
  <w:style w:type="character" w:customStyle="1" w:styleId="PedmtkomenteChar">
    <w:name w:val="Předmět komentáře Char"/>
    <w:link w:val="Pedmtkomente"/>
    <w:rsid w:val="002560E6"/>
    <w:rPr>
      <w:b/>
      <w:bCs/>
    </w:rPr>
  </w:style>
  <w:style w:type="paragraph" w:styleId="Bezmezer">
    <w:name w:val="No Spacing"/>
    <w:uiPriority w:val="1"/>
    <w:qFormat/>
    <w:rsid w:val="007702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7A65-959D-4288-95B7-2BD09506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2026-02-27T07:40:00Z</dcterms:created>
  <dcterms:modified xsi:type="dcterms:W3CDTF">2026-02-27T07:40:00Z</dcterms:modified>
</cp:coreProperties>
</file>